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169" w:line="970" w:lineRule="exact"/>
        <w:ind w:firstLine="2822"/>
        <w:rPr>
          <w:rFonts w:ascii="宋体" w:hAnsi="宋体" w:eastAsia="宋体" w:cs="宋体"/>
          <w:sz w:val="52"/>
          <w:szCs w:val="52"/>
        </w:rPr>
      </w:pPr>
      <w:r>
        <w:rPr>
          <w:rFonts w:ascii="宋体" w:hAnsi="宋体" w:eastAsia="宋体" w:cs="宋体"/>
          <w:spacing w:val="-8"/>
          <w:position w:val="33"/>
          <w:sz w:val="52"/>
          <w:szCs w:val="52"/>
          <w14:textOutline w14:w="9448" w14:cap="flat" w14:cmpd="sng">
            <w14:solidFill>
              <w14:srgbClr w14:val="000000"/>
            </w14:solidFill>
            <w14:prstDash w14:val="solid"/>
            <w14:miter w14:val="0"/>
          </w14:textOutline>
        </w:rPr>
        <w:t>河南省社科联</w:t>
      </w:r>
    </w:p>
    <w:p>
      <w:pPr>
        <w:spacing w:line="219" w:lineRule="auto"/>
        <w:ind w:firstLine="1722"/>
        <w:rPr>
          <w:rFonts w:ascii="宋体" w:hAnsi="宋体" w:eastAsia="宋体" w:cs="宋体"/>
          <w:sz w:val="52"/>
          <w:szCs w:val="52"/>
        </w:rPr>
      </w:pPr>
      <w:bookmarkStart w:id="0" w:name="_GoBack"/>
      <w:r>
        <w:rPr>
          <w:rFonts w:ascii="宋体" w:hAnsi="宋体" w:eastAsia="宋体" w:cs="宋体"/>
          <w:spacing w:val="4"/>
          <w:sz w:val="52"/>
          <w:szCs w:val="52"/>
          <w14:textOutline w14:w="9448" w14:cap="flat" w14:cmpd="sng">
            <w14:solidFill>
              <w14:srgbClr w14:val="000000"/>
            </w14:solidFill>
            <w14:prstDash w14:val="solid"/>
            <w14:miter w14:val="0"/>
          </w14:textOutline>
        </w:rPr>
        <w:t>2022年度调研课题指南</w:t>
      </w:r>
    </w:p>
    <w:bookmarkEnd w:id="0"/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111" w:line="222" w:lineRule="auto"/>
        <w:ind w:firstLine="2665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2"/>
          <w:sz w:val="34"/>
          <w:szCs w:val="34"/>
        </w:rPr>
        <w:t>河南省社会科学界联合会</w:t>
      </w:r>
    </w:p>
    <w:p>
      <w:pPr>
        <w:spacing w:before="241" w:line="222" w:lineRule="auto"/>
        <w:ind w:firstLine="357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18"/>
          <w:w w:val="101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0"/>
          </w14:textOutline>
        </w:rPr>
        <w:t>2022年2月</w:t>
      </w:r>
    </w:p>
    <w:p>
      <w:pPr>
        <w:sectPr>
          <w:footerReference r:id="rId5" w:type="default"/>
          <w:pgSz w:w="11900" w:h="16830"/>
          <w:pgMar w:top="1430" w:right="1785" w:bottom="1205" w:left="1334" w:header="0" w:footer="1066" w:gutter="0"/>
          <w:cols w:space="720" w:num="1"/>
        </w:sectPr>
      </w:pPr>
    </w:p>
    <w:p>
      <w:pPr>
        <w:spacing w:line="367" w:lineRule="auto"/>
        <w:rPr>
          <w:rFonts w:ascii="Arial"/>
          <w:sz w:val="21"/>
        </w:rPr>
      </w:pPr>
    </w:p>
    <w:p>
      <w:pPr>
        <w:spacing w:before="124" w:line="221" w:lineRule="auto"/>
        <w:ind w:firstLine="3845"/>
        <w:rPr>
          <w:rFonts w:ascii="黑体" w:hAnsi="黑体" w:eastAsia="黑体" w:cs="黑体"/>
          <w:sz w:val="38"/>
          <w:szCs w:val="38"/>
        </w:rPr>
      </w:pPr>
      <w:r>
        <w:rPr>
          <w:rFonts w:ascii="黑体" w:hAnsi="黑体" w:eastAsia="黑体" w:cs="黑体"/>
          <w:spacing w:val="-11"/>
          <w:sz w:val="38"/>
          <w:szCs w:val="38"/>
          <w14:textOutline w14:w="6896" w14:cap="flat" w14:cmpd="sng">
            <w14:solidFill>
              <w14:srgbClr w14:val="000000"/>
            </w14:solidFill>
            <w14:prstDash w14:val="solid"/>
            <w14:miter w14:val="0"/>
          </w14:textOutline>
        </w:rPr>
        <w:t>说明</w:t>
      </w:r>
    </w:p>
    <w:p>
      <w:pPr>
        <w:spacing w:line="465" w:lineRule="auto"/>
        <w:rPr>
          <w:rFonts w:ascii="Arial"/>
          <w:sz w:val="21"/>
        </w:rPr>
      </w:pPr>
    </w:p>
    <w:p>
      <w:pPr>
        <w:spacing w:before="5" w:line="343" w:lineRule="auto"/>
        <w:ind w:right="18" w:firstLine="520"/>
        <w:rPr>
          <w:rFonts w:hint="eastAsia" w:ascii="仿宋" w:hAnsi="仿宋" w:eastAsia="仿宋" w:cs="仿宋"/>
          <w:spacing w:val="-13"/>
          <w:sz w:val="26"/>
          <w:szCs w:val="26"/>
          <w:lang w:eastAsia="zh-CN"/>
        </w:rPr>
      </w:pPr>
      <w:r>
        <w:rPr>
          <w:rFonts w:ascii="仿宋" w:hAnsi="仿宋" w:eastAsia="仿宋" w:cs="仿宋"/>
          <w:spacing w:val="-19"/>
          <w:sz w:val="26"/>
          <w:szCs w:val="26"/>
        </w:rPr>
        <w:t>申报课题获准立项后</w:t>
      </w:r>
      <w:r>
        <w:rPr>
          <w:rFonts w:hint="eastAsia" w:ascii="仿宋" w:hAnsi="仿宋" w:eastAsia="仿宋" w:cs="仿宋"/>
          <w:spacing w:val="-19"/>
          <w:sz w:val="26"/>
          <w:szCs w:val="26"/>
          <w:lang w:eastAsia="zh-CN"/>
        </w:rPr>
        <w:t>，</w:t>
      </w:r>
      <w:r>
        <w:rPr>
          <w:rFonts w:ascii="仿宋" w:hAnsi="仿宋" w:eastAsia="仿宋" w:cs="仿宋"/>
          <w:spacing w:val="-19"/>
          <w:sz w:val="26"/>
          <w:szCs w:val="26"/>
          <w:highlight w:val="yellow"/>
        </w:rPr>
        <w:t>课题主持人、参与人不得更换</w:t>
      </w:r>
      <w:r>
        <w:rPr>
          <w:rFonts w:hint="eastAsia" w:ascii="仿宋" w:hAnsi="仿宋" w:eastAsia="仿宋" w:cs="仿宋"/>
          <w:spacing w:val="-19"/>
          <w:sz w:val="26"/>
          <w:szCs w:val="26"/>
          <w:lang w:eastAsia="zh-CN"/>
        </w:rPr>
        <w:t>。</w:t>
      </w:r>
      <w:r>
        <w:rPr>
          <w:rFonts w:ascii="仿宋" w:hAnsi="仿宋" w:eastAsia="仿宋" w:cs="仿宋"/>
          <w:spacing w:val="-19"/>
          <w:sz w:val="26"/>
          <w:szCs w:val="26"/>
        </w:rPr>
        <w:t>主持人应</w:t>
      </w:r>
      <w:r>
        <w:rPr>
          <w:rFonts w:ascii="仿宋" w:hAnsi="仿宋" w:eastAsia="仿宋" w:cs="仿宋"/>
          <w:spacing w:val="-11"/>
          <w:sz w:val="26"/>
          <w:szCs w:val="26"/>
        </w:rPr>
        <w:t>按照《立项通知书》要求</w:t>
      </w:r>
      <w:r>
        <w:rPr>
          <w:rFonts w:hint="eastAsia" w:ascii="仿宋" w:hAnsi="仿宋" w:eastAsia="仿宋" w:cs="仿宋"/>
          <w:spacing w:val="-11"/>
          <w:sz w:val="26"/>
          <w:szCs w:val="26"/>
          <w:lang w:eastAsia="zh-CN"/>
        </w:rPr>
        <w:t>，</w:t>
      </w:r>
      <w:r>
        <w:rPr>
          <w:rFonts w:ascii="仿宋" w:hAnsi="仿宋" w:eastAsia="仿宋" w:cs="仿宋"/>
          <w:spacing w:val="-11"/>
          <w:sz w:val="26"/>
          <w:szCs w:val="26"/>
        </w:rPr>
        <w:t>在规定时间内完成课题调研与报告撰写任务</w:t>
      </w:r>
      <w:r>
        <w:rPr>
          <w:rFonts w:hint="eastAsia" w:ascii="仿宋" w:hAnsi="仿宋" w:eastAsia="仿宋" w:cs="仿宋"/>
          <w:spacing w:val="-11"/>
          <w:sz w:val="26"/>
          <w:szCs w:val="26"/>
          <w:lang w:eastAsia="zh-CN"/>
        </w:rPr>
        <w:t>，</w:t>
      </w:r>
      <w:r>
        <w:rPr>
          <w:rFonts w:ascii="仿宋" w:hAnsi="仿宋" w:eastAsia="仿宋" w:cs="仿宋"/>
          <w:spacing w:val="-11"/>
          <w:sz w:val="26"/>
          <w:szCs w:val="26"/>
        </w:rPr>
        <w:t>于2023年</w:t>
      </w:r>
      <w:r>
        <w:rPr>
          <w:rFonts w:ascii="仿宋" w:hAnsi="仿宋" w:eastAsia="仿宋" w:cs="仿宋"/>
          <w:spacing w:val="-13"/>
          <w:sz w:val="26"/>
          <w:szCs w:val="26"/>
        </w:rPr>
        <w:t>4月</w:t>
      </w:r>
      <w:r>
        <w:rPr>
          <w:rFonts w:hint="eastAsia" w:ascii="仿宋" w:hAnsi="仿宋" w:eastAsia="仿宋" w:cs="仿宋"/>
          <w:spacing w:val="-13"/>
          <w:sz w:val="26"/>
          <w:szCs w:val="26"/>
          <w:lang w:eastAsia="zh-CN"/>
        </w:rPr>
        <w:t>，</w:t>
      </w:r>
      <w:r>
        <w:rPr>
          <w:rFonts w:ascii="仿宋" w:hAnsi="仿宋" w:eastAsia="仿宋" w:cs="仿宋"/>
          <w:spacing w:val="-13"/>
          <w:sz w:val="26"/>
          <w:szCs w:val="26"/>
        </w:rPr>
        <w:t>按照要求将课题报告电子文档提交至省社科联调研课题管理系统</w:t>
      </w:r>
      <w:r>
        <w:rPr>
          <w:rFonts w:hint="eastAsia" w:ascii="仿宋" w:hAnsi="仿宋" w:eastAsia="仿宋" w:cs="仿宋"/>
          <w:spacing w:val="-13"/>
          <w:sz w:val="26"/>
          <w:szCs w:val="26"/>
          <w:lang w:eastAsia="zh-CN"/>
        </w:rPr>
        <w:t>。</w:t>
      </w:r>
    </w:p>
    <w:p>
      <w:pPr>
        <w:spacing w:before="5" w:line="343" w:lineRule="auto"/>
        <w:ind w:right="18" w:firstLine="520"/>
        <w:rPr>
          <w:rFonts w:hint="eastAsia" w:ascii="仿宋" w:hAnsi="仿宋" w:eastAsia="仿宋" w:cs="仿宋"/>
          <w:spacing w:val="-13"/>
          <w:sz w:val="26"/>
          <w:szCs w:val="26"/>
          <w:lang w:val="en-US" w:eastAsia="zh-CN"/>
        </w:rPr>
      </w:pPr>
      <w:r>
        <w:rPr>
          <w:rFonts w:hint="eastAsia" w:ascii="仿宋" w:hAnsi="仿宋" w:eastAsia="仿宋" w:cs="仿宋"/>
          <w:spacing w:val="-13"/>
          <w:sz w:val="26"/>
          <w:szCs w:val="26"/>
          <w:lang w:eastAsia="zh-CN"/>
        </w:rPr>
        <w:fldChar w:fldCharType="begin"/>
      </w:r>
      <w:r>
        <w:rPr>
          <w:rFonts w:hint="eastAsia" w:ascii="仿宋" w:hAnsi="仿宋" w:eastAsia="仿宋" w:cs="仿宋"/>
          <w:spacing w:val="-13"/>
          <w:sz w:val="26"/>
          <w:szCs w:val="26"/>
          <w:lang w:eastAsia="zh-CN"/>
        </w:rPr>
        <w:instrText xml:space="preserve"> HYPERLINK "mailto:申报系统流程及技术问题咨询电话0371-60303090，电子邮箱hnzhgn@qq.com" </w:instrText>
      </w:r>
      <w:r>
        <w:rPr>
          <w:rFonts w:hint="eastAsia" w:ascii="仿宋" w:hAnsi="仿宋" w:eastAsia="仿宋" w:cs="仿宋"/>
          <w:spacing w:val="-13"/>
          <w:sz w:val="26"/>
          <w:szCs w:val="26"/>
          <w:lang w:eastAsia="zh-CN"/>
        </w:rPr>
        <w:fldChar w:fldCharType="separate"/>
      </w:r>
      <w:r>
        <w:rPr>
          <w:rFonts w:hint="eastAsia" w:ascii="仿宋" w:hAnsi="仿宋" w:eastAsia="仿宋" w:cs="仿宋"/>
          <w:spacing w:val="-13"/>
          <w:sz w:val="26"/>
          <w:szCs w:val="26"/>
          <w:lang w:eastAsia="zh-CN"/>
        </w:rPr>
        <w:t>申报系统流程及技术问题咨询电话</w:t>
      </w:r>
      <w:r>
        <w:rPr>
          <w:rFonts w:hint="eastAsia" w:ascii="仿宋" w:hAnsi="仿宋" w:eastAsia="仿宋" w:cs="仿宋"/>
          <w:spacing w:val="-13"/>
          <w:sz w:val="26"/>
          <w:szCs w:val="26"/>
          <w:lang w:val="en-US" w:eastAsia="zh-CN"/>
        </w:rPr>
        <w:t>0371-60303090，电子邮箱hnzhgn@qq.com</w:t>
      </w:r>
      <w:r>
        <w:rPr>
          <w:rFonts w:hint="eastAsia" w:ascii="仿宋" w:hAnsi="仿宋" w:eastAsia="仿宋" w:cs="仿宋"/>
          <w:spacing w:val="-13"/>
          <w:sz w:val="26"/>
          <w:szCs w:val="26"/>
          <w:lang w:eastAsia="zh-CN"/>
        </w:rPr>
        <w:fldChar w:fldCharType="end"/>
      </w:r>
    </w:p>
    <w:p>
      <w:pPr>
        <w:sectPr>
          <w:footerReference r:id="rId6" w:type="default"/>
          <w:pgSz w:w="11900" w:h="16830"/>
          <w:pgMar w:top="1430" w:right="1645" w:bottom="1187" w:left="1460" w:header="0" w:footer="1079" w:gutter="0"/>
          <w:cols w:space="720" w:num="1"/>
        </w:sectPr>
      </w:pPr>
    </w:p>
    <w:p>
      <w:pPr>
        <w:spacing w:before="124" w:line="221" w:lineRule="auto"/>
        <w:jc w:val="center"/>
        <w:rPr>
          <w:rFonts w:ascii="黑体" w:hAnsi="黑体" w:eastAsia="黑体" w:cs="黑体"/>
          <w:b/>
          <w:bCs/>
          <w:sz w:val="52"/>
          <w:szCs w:val="52"/>
        </w:rPr>
      </w:pPr>
      <w:r>
        <w:rPr>
          <w:rFonts w:ascii="黑体" w:hAnsi="黑体" w:eastAsia="黑体" w:cs="黑体"/>
          <w:b/>
          <w:bCs/>
          <w:sz w:val="52"/>
          <w:szCs w:val="52"/>
        </w:rPr>
        <w:t>河南省社科联2022年度调研课题指南</w:t>
      </w:r>
    </w:p>
    <w:p>
      <w:pPr>
        <w:spacing w:before="124" w:line="221" w:lineRule="auto"/>
        <w:jc w:val="center"/>
        <w:rPr>
          <w:rFonts w:ascii="黑体" w:hAnsi="黑体" w:eastAsia="黑体" w:cs="黑体"/>
          <w:b/>
          <w:bCs/>
          <w:sz w:val="52"/>
          <w:szCs w:val="52"/>
        </w:rPr>
      </w:pPr>
      <w:r>
        <w:rPr>
          <w:rFonts w:ascii="黑体" w:hAnsi="黑体" w:eastAsia="黑体" w:cs="黑体"/>
          <w:b/>
          <w:bCs/>
          <w:sz w:val="52"/>
          <w:szCs w:val="52"/>
        </w:rPr>
        <w:t>参考选题(185项)</w:t>
      </w:r>
    </w:p>
    <w:p>
      <w:pPr>
        <w:spacing w:line="455" w:lineRule="auto"/>
        <w:rPr>
          <w:rFonts w:ascii="Arial"/>
          <w:sz w:val="21"/>
        </w:rPr>
      </w:pPr>
    </w:p>
    <w:p>
      <w:pPr>
        <w:spacing w:before="104" w:line="222" w:lineRule="auto"/>
        <w:ind w:firstLine="4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马列·科社</w:t>
      </w:r>
    </w:p>
    <w:p>
      <w:pPr>
        <w:spacing w:before="231" w:line="359" w:lineRule="auto"/>
        <w:ind w:right="29"/>
        <w:rPr>
          <w:rFonts w:hint="eastAsia" w:ascii="仿宋_GB2312" w:hAnsi="仿宋_GB2312" w:eastAsia="仿宋_GB2312" w:cs="仿宋_GB2312"/>
          <w:spacing w:val="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习近平经济思想研究</w:t>
      </w:r>
    </w:p>
    <w:p>
      <w:pPr>
        <w:spacing w:before="231" w:line="359" w:lineRule="auto"/>
        <w:ind w:right="29"/>
        <w:rPr>
          <w:rFonts w:hint="eastAsia" w:ascii="仿宋_GB2312" w:hAnsi="仿宋_GB2312" w:eastAsia="仿宋_GB2312" w:cs="仿宋_GB2312"/>
          <w:spacing w:val="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习近平法治思想研究</w:t>
      </w:r>
    </w:p>
    <w:p>
      <w:pPr>
        <w:spacing w:before="231" w:line="359" w:lineRule="auto"/>
        <w:ind w:right="29"/>
        <w:rPr>
          <w:rFonts w:hint="eastAsia" w:ascii="仿宋_GB2312" w:hAnsi="仿宋_GB2312" w:eastAsia="仿宋_GB2312" w:cs="仿宋_GB2312"/>
          <w:spacing w:val="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习近平生态文明思想研究</w:t>
      </w:r>
    </w:p>
    <w:p>
      <w:pPr>
        <w:spacing w:before="231" w:line="359" w:lineRule="auto"/>
        <w:ind w:right="29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习近平新时代中国特色社会主义思想是中华文化和中国精神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的时代精华研究</w:t>
      </w:r>
    </w:p>
    <w:p>
      <w:pPr>
        <w:spacing w:before="231" w:line="359" w:lineRule="auto"/>
        <w:ind w:right="29"/>
        <w:rPr>
          <w:rFonts w:hint="eastAsia" w:ascii="仿宋_GB2312" w:hAnsi="仿宋_GB2312" w:eastAsia="仿宋_GB2312" w:cs="仿宋_GB2312"/>
          <w:spacing w:val="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习近平新时代中国特色社会主义思想在河南的生动实践研究</w:t>
      </w:r>
    </w:p>
    <w:p>
      <w:pPr>
        <w:spacing w:before="231" w:line="359" w:lineRule="auto"/>
        <w:ind w:right="29"/>
        <w:rPr>
          <w:rFonts w:hint="eastAsia" w:ascii="仿宋_GB2312" w:hAnsi="仿宋_GB2312" w:eastAsia="仿宋_GB2312" w:cs="仿宋_GB2312"/>
          <w:spacing w:val="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马克思主义中国化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两个结合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的内涵及规律研究</w:t>
      </w:r>
    </w:p>
    <w:p>
      <w:pPr>
        <w:spacing w:before="231" w:line="359" w:lineRule="auto"/>
        <w:ind w:right="29"/>
        <w:rPr>
          <w:rFonts w:hint="eastAsia" w:ascii="仿宋_GB2312" w:hAnsi="仿宋_GB2312" w:eastAsia="仿宋_GB2312" w:cs="仿宋_GB2312"/>
          <w:spacing w:val="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中国式现代化道路研究</w:t>
      </w:r>
    </w:p>
    <w:p>
      <w:pPr>
        <w:spacing w:before="231" w:line="359" w:lineRule="auto"/>
        <w:ind w:right="29"/>
        <w:rPr>
          <w:rFonts w:hint="eastAsia" w:ascii="仿宋_GB2312" w:hAnsi="仿宋_GB2312" w:eastAsia="仿宋_GB2312" w:cs="仿宋_GB2312"/>
          <w:spacing w:val="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人类文明新形态研究</w:t>
      </w:r>
    </w:p>
    <w:p>
      <w:pPr>
        <w:spacing w:before="231" w:line="359" w:lineRule="auto"/>
        <w:ind w:right="29"/>
        <w:rPr>
          <w:rFonts w:hint="eastAsia" w:ascii="仿宋_GB2312" w:hAnsi="仿宋_GB2312" w:eastAsia="仿宋_GB2312" w:cs="仿宋_GB2312"/>
          <w:spacing w:val="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社会主义意识形态理论话语创新研究</w:t>
      </w:r>
    </w:p>
    <w:p>
      <w:pPr>
        <w:spacing w:before="231" w:line="359" w:lineRule="auto"/>
        <w:ind w:right="2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构建主流意识形态认同机制研究</w:t>
      </w:r>
    </w:p>
    <w:p>
      <w:pPr>
        <w:spacing w:before="105" w:line="223" w:lineRule="auto"/>
        <w:ind w:firstLine="4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党史·党建</w:t>
      </w:r>
    </w:p>
    <w:p>
      <w:pPr>
        <w:spacing w:before="235" w:line="367" w:lineRule="auto"/>
        <w:ind w:right="60"/>
        <w:rPr>
          <w:rFonts w:hint="eastAsia" w:ascii="仿宋_GB2312" w:hAnsi="仿宋_GB2312" w:eastAsia="仿宋_GB2312" w:cs="仿宋_GB2312"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中国共产党三个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历史决议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的比较研究</w:t>
      </w:r>
    </w:p>
    <w:p>
      <w:pPr>
        <w:spacing w:before="235" w:line="367" w:lineRule="auto"/>
        <w:ind w:right="60"/>
        <w:rPr>
          <w:rFonts w:hint="eastAsia" w:ascii="仿宋_GB2312" w:hAnsi="仿宋_GB2312" w:eastAsia="仿宋_GB2312" w:cs="仿宋_GB2312"/>
          <w:spacing w:val="7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  <w:lang w:eastAsia="zh-CN"/>
        </w:rPr>
        <w:t>、“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两个确立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对新时代党和国家事业发展的决定性意义研究</w:t>
      </w:r>
    </w:p>
    <w:p>
      <w:pPr>
        <w:spacing w:before="235" w:line="367" w:lineRule="auto"/>
        <w:ind w:right="60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13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伟大建党精神形成的理论渊源、实践基础、文化底蕴研究</w:t>
      </w:r>
    </w:p>
    <w:p>
      <w:pPr>
        <w:spacing w:before="235" w:line="367" w:lineRule="auto"/>
        <w:ind w:right="60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新时代中国共产党执政形象研究</w:t>
      </w:r>
    </w:p>
    <w:p>
      <w:pPr>
        <w:spacing w:before="213" w:line="364" w:lineRule="auto"/>
        <w:ind w:right="550"/>
        <w:rPr>
          <w:rFonts w:hint="eastAsia" w:ascii="仿宋_GB2312" w:hAnsi="仿宋_GB2312" w:eastAsia="仿宋_GB2312" w:cs="仿宋_GB2312"/>
          <w:spacing w:val="-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百年河南革命传统和精神谱系研究</w:t>
      </w:r>
    </w:p>
    <w:p>
      <w:pPr>
        <w:spacing w:before="213" w:line="364" w:lineRule="auto"/>
        <w:ind w:right="550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16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红色资源融入党史学习教育的路径研究</w:t>
      </w:r>
    </w:p>
    <w:p>
      <w:pPr>
        <w:spacing w:before="213" w:line="364" w:lineRule="auto"/>
        <w:ind w:right="550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17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新业态党组织建设的现实困境与优化路径研究</w:t>
      </w:r>
    </w:p>
    <w:p>
      <w:pPr>
        <w:spacing w:before="213" w:line="364" w:lineRule="auto"/>
        <w:ind w:right="550"/>
        <w:rPr>
          <w:rFonts w:hint="eastAsia" w:ascii="仿宋_GB2312" w:hAnsi="仿宋_GB2312" w:eastAsia="仿宋_GB2312" w:cs="仿宋_GB2312"/>
          <w:spacing w:val="-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18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社区党建引领机制建设研究</w:t>
      </w:r>
    </w:p>
    <w:p>
      <w:pPr>
        <w:spacing w:before="213" w:line="364" w:lineRule="auto"/>
        <w:ind w:right="550"/>
        <w:rPr>
          <w:rFonts w:hint="eastAsia" w:ascii="仿宋_GB2312" w:hAnsi="仿宋_GB2312" w:eastAsia="仿宋_GB2312" w:cs="仿宋_GB2312"/>
          <w:spacing w:val="-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19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有效推进社会组织党建的路径研究</w:t>
      </w:r>
    </w:p>
    <w:p>
      <w:pPr>
        <w:spacing w:before="213" w:line="364" w:lineRule="auto"/>
        <w:ind w:right="550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重大项目建设中党建与实际工作融合研究</w:t>
      </w:r>
    </w:p>
    <w:p>
      <w:pPr>
        <w:spacing w:before="213" w:line="364" w:lineRule="auto"/>
        <w:ind w:right="550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21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信息化时代加强高校意识形态工作的策略研究</w:t>
      </w:r>
    </w:p>
    <w:p>
      <w:pPr>
        <w:spacing w:before="213" w:line="364" w:lineRule="auto"/>
        <w:ind w:right="550"/>
        <w:rPr>
          <w:rFonts w:hint="eastAsia" w:ascii="仿宋_GB2312" w:hAnsi="仿宋_GB2312" w:eastAsia="仿宋_GB2312" w:cs="仿宋_GB2312"/>
          <w:spacing w:val="-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22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激励干部担当作为干事创业对策研究</w:t>
      </w:r>
    </w:p>
    <w:p>
      <w:pPr>
        <w:spacing w:before="213" w:line="364" w:lineRule="auto"/>
        <w:ind w:right="550"/>
        <w:rPr>
          <w:rFonts w:hint="eastAsia" w:ascii="仿宋_GB2312" w:hAnsi="仿宋_GB2312" w:eastAsia="仿宋_GB2312" w:cs="仿宋_GB2312"/>
          <w:spacing w:val="-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23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中青年干部增强斗争本领和党性修养研究</w:t>
      </w:r>
    </w:p>
    <w:p>
      <w:pPr>
        <w:spacing w:before="213" w:line="364" w:lineRule="auto"/>
        <w:ind w:right="550"/>
        <w:rPr>
          <w:rFonts w:hint="eastAsia" w:ascii="仿宋_GB2312" w:hAnsi="仿宋_GB2312" w:eastAsia="仿宋_GB2312" w:cs="仿宋_GB2312"/>
          <w:spacing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24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农村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一肩挑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干部队伍职业化管理路径研究</w:t>
      </w:r>
    </w:p>
    <w:p>
      <w:pPr>
        <w:spacing w:before="213" w:line="364" w:lineRule="auto"/>
        <w:ind w:right="550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25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乡村振兴背景下河南农村基层带头人队伍建设路径研究</w:t>
      </w:r>
    </w:p>
    <w:p>
      <w:pPr>
        <w:spacing w:before="213" w:line="364" w:lineRule="auto"/>
        <w:ind w:right="550"/>
        <w:rPr>
          <w:rFonts w:hint="eastAsia" w:ascii="仿宋_GB2312" w:hAnsi="仿宋_GB2312" w:eastAsia="仿宋_GB2312" w:cs="仿宋_GB2312"/>
          <w:spacing w:val="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26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lang w:eastAsia="zh-CN"/>
        </w:rPr>
        <w:t>、“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清廉河南”建设的目标取向与实现路径研究</w:t>
      </w:r>
    </w:p>
    <w:p>
      <w:pPr>
        <w:spacing w:before="213" w:line="364" w:lineRule="auto"/>
        <w:ind w:right="550"/>
        <w:rPr>
          <w:rFonts w:hint="eastAsia" w:ascii="仿宋_GB2312" w:hAnsi="仿宋_GB2312" w:eastAsia="仿宋_GB2312" w:cs="仿宋_GB2312"/>
          <w:spacing w:val="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27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eastAsia="zh-CN"/>
        </w:rPr>
        <w:t>、“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蹲苗育苗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计划实施效果与完善路径研究</w:t>
      </w:r>
    </w:p>
    <w:p>
      <w:pPr>
        <w:spacing w:before="104" w:line="223" w:lineRule="auto"/>
        <w:ind w:firstLine="4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3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哲学</w:t>
      </w:r>
    </w:p>
    <w:p>
      <w:pPr>
        <w:spacing w:before="213" w:line="364" w:lineRule="auto"/>
        <w:ind w:right="550"/>
        <w:rPr>
          <w:rFonts w:hint="eastAsia" w:ascii="仿宋_GB2312" w:hAnsi="仿宋_GB2312" w:eastAsia="仿宋_GB2312" w:cs="仿宋_GB2312"/>
          <w:spacing w:val="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28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习近平新时代中国特色社会主义思想的哲学研究</w:t>
      </w:r>
    </w:p>
    <w:p>
      <w:pPr>
        <w:spacing w:before="213" w:line="364" w:lineRule="auto"/>
        <w:ind w:right="550"/>
        <w:rPr>
          <w:rFonts w:hint="eastAsia" w:ascii="仿宋_GB2312" w:hAnsi="仿宋_GB2312" w:eastAsia="仿宋_GB2312" w:cs="仿宋_GB2312"/>
          <w:spacing w:val="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29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共同富裕的哲学研究</w:t>
      </w:r>
    </w:p>
    <w:p>
      <w:pPr>
        <w:spacing w:before="213" w:line="364" w:lineRule="auto"/>
        <w:ind w:right="550"/>
        <w:rPr>
          <w:rFonts w:hint="eastAsia" w:ascii="仿宋_GB2312" w:hAnsi="仿宋_GB2312" w:eastAsia="仿宋_GB2312" w:cs="仿宋_GB2312"/>
          <w:spacing w:val="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30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社会发展与美好生活的哲学研究</w:t>
      </w:r>
    </w:p>
    <w:p>
      <w:pPr>
        <w:spacing w:before="213" w:line="364" w:lineRule="auto"/>
        <w:ind w:right="550"/>
        <w:rPr>
          <w:rFonts w:hint="eastAsia" w:ascii="仿宋_GB2312" w:hAnsi="仿宋_GB2312" w:eastAsia="仿宋_GB2312" w:cs="仿宋_GB2312"/>
          <w:spacing w:val="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31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人工智能伦理研究</w:t>
      </w:r>
    </w:p>
    <w:p>
      <w:pPr>
        <w:spacing w:before="213" w:line="364" w:lineRule="auto"/>
        <w:ind w:right="550"/>
        <w:rPr>
          <w:rFonts w:hint="eastAsia" w:ascii="仿宋_GB2312" w:hAnsi="仿宋_GB2312" w:eastAsia="仿宋_GB2312" w:cs="仿宋_GB2312"/>
          <w:spacing w:val="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32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生态文明的道德哲学研究</w:t>
      </w:r>
    </w:p>
    <w:p>
      <w:pPr>
        <w:spacing w:before="213" w:line="364" w:lineRule="auto"/>
        <w:ind w:right="550"/>
        <w:rPr>
          <w:rFonts w:hint="eastAsia" w:ascii="仿宋_GB2312" w:hAnsi="仿宋_GB2312" w:eastAsia="仿宋_GB2312" w:cs="仿宋_GB2312"/>
          <w:spacing w:val="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33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中华传统美德的传承、弘扬和现代转化研究</w:t>
      </w:r>
    </w:p>
    <w:p>
      <w:pPr>
        <w:spacing w:before="260" w:line="221" w:lineRule="auto"/>
        <w:ind w:firstLine="4"/>
        <w:rPr>
          <w:rFonts w:hint="eastAsia" w:ascii="仿宋_GB2312" w:hAnsi="仿宋_GB2312" w:eastAsia="仿宋_GB2312" w:cs="仿宋_GB2312"/>
          <w:spacing w:val="-3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260" w:line="221" w:lineRule="auto"/>
        <w:ind w:firstLine="4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3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政治学</w:t>
      </w:r>
    </w:p>
    <w:p>
      <w:pPr>
        <w:spacing w:before="229" w:line="363" w:lineRule="auto"/>
        <w:ind w:right="51"/>
        <w:rPr>
          <w:rFonts w:hint="eastAsia" w:ascii="仿宋_GB2312" w:hAnsi="仿宋_GB2312" w:eastAsia="仿宋_GB2312" w:cs="仿宋_GB2312"/>
          <w:spacing w:val="-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34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习近平总书记关于发展全过程人民民主的重要论述研究</w:t>
      </w:r>
    </w:p>
    <w:p>
      <w:pPr>
        <w:spacing w:before="229" w:line="363" w:lineRule="auto"/>
        <w:ind w:right="51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35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中国共产党领导人民创造的政治文明新形态研究</w:t>
      </w:r>
    </w:p>
    <w:p>
      <w:pPr>
        <w:spacing w:before="229" w:line="363" w:lineRule="auto"/>
        <w:ind w:right="51"/>
        <w:rPr>
          <w:rFonts w:hint="eastAsia" w:ascii="仿宋_GB2312" w:hAnsi="仿宋_GB2312" w:eastAsia="仿宋_GB2312" w:cs="仿宋_GB2312"/>
          <w:spacing w:val="-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36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新时代加强党的政治领导力、思想引领力、群众组织力、社会号召力的途径和机制研究</w:t>
      </w:r>
    </w:p>
    <w:p>
      <w:pPr>
        <w:spacing w:before="229" w:line="363" w:lineRule="auto"/>
        <w:ind w:right="51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37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健全社会主义市场经济条件下新型举国体制研究</w:t>
      </w:r>
    </w:p>
    <w:p>
      <w:pPr>
        <w:spacing w:before="229" w:line="363" w:lineRule="auto"/>
        <w:ind w:right="51"/>
        <w:rPr>
          <w:rFonts w:hint="eastAsia" w:ascii="仿宋_GB2312" w:hAnsi="仿宋_GB2312" w:eastAsia="仿宋_GB2312" w:cs="仿宋_GB2312"/>
          <w:spacing w:val="-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38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推进共同富裕的政府机制和公共政策研究</w:t>
      </w:r>
    </w:p>
    <w:p>
      <w:pPr>
        <w:spacing w:before="229" w:line="363" w:lineRule="auto"/>
        <w:ind w:right="51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39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中国特色社会主义政治制度的传统文化基因研究</w:t>
      </w:r>
    </w:p>
    <w:p>
      <w:pPr>
        <w:spacing w:before="229" w:line="363" w:lineRule="auto"/>
        <w:ind w:right="5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40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国家治理体系和治理能力现代化与中华优秀传统政治文化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的关系研究</w:t>
      </w:r>
    </w:p>
    <w:p>
      <w:pPr>
        <w:spacing w:before="104" w:line="223" w:lineRule="auto"/>
        <w:ind w:firstLine="4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3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法学</w:t>
      </w:r>
    </w:p>
    <w:p>
      <w:pPr>
        <w:spacing w:before="229" w:line="363" w:lineRule="auto"/>
        <w:ind w:right="51"/>
        <w:rPr>
          <w:rFonts w:hint="eastAsia"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41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推动党内法规制度建设高质量发展研究</w:t>
      </w:r>
    </w:p>
    <w:p>
      <w:pPr>
        <w:spacing w:before="229" w:line="363" w:lineRule="auto"/>
        <w:ind w:right="51"/>
        <w:rPr>
          <w:rFonts w:hint="eastAsia"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42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法治政府建设标准和措施研究</w:t>
      </w:r>
    </w:p>
    <w:p>
      <w:pPr>
        <w:spacing w:before="229" w:line="363" w:lineRule="auto"/>
        <w:ind w:right="51"/>
        <w:rPr>
          <w:rFonts w:hint="eastAsia"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43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社会主义核心价值观与民法典的价值体系研究</w:t>
      </w:r>
    </w:p>
    <w:p>
      <w:pPr>
        <w:spacing w:before="229" w:line="363" w:lineRule="auto"/>
        <w:ind w:right="51"/>
        <w:rPr>
          <w:rFonts w:hint="eastAsia"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44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民法典实施中的重大疑难问题研究</w:t>
      </w:r>
    </w:p>
    <w:p>
      <w:pPr>
        <w:spacing w:before="229" w:line="363" w:lineRule="auto"/>
        <w:ind w:right="51"/>
        <w:rPr>
          <w:rFonts w:hint="eastAsia"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45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共同富裕背景下数据收益分配法律机制研究</w:t>
      </w:r>
    </w:p>
    <w:p>
      <w:pPr>
        <w:spacing w:before="229" w:line="363" w:lineRule="auto"/>
        <w:ind w:right="51"/>
        <w:rPr>
          <w:rFonts w:hint="eastAsia"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46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第三次分配的法律保障机制研究</w:t>
      </w:r>
    </w:p>
    <w:p>
      <w:pPr>
        <w:spacing w:before="229" w:line="363" w:lineRule="auto"/>
        <w:ind w:right="51"/>
        <w:rPr>
          <w:rFonts w:hint="eastAsia"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47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防范金融风险与金融监管法体系化研究</w:t>
      </w:r>
    </w:p>
    <w:p>
      <w:pPr>
        <w:spacing w:before="229" w:line="363" w:lineRule="auto"/>
        <w:ind w:right="51"/>
        <w:rPr>
          <w:rFonts w:hint="eastAsia"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48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个人信息侵权损害赔偿责任研究</w:t>
      </w:r>
    </w:p>
    <w:p>
      <w:pPr>
        <w:spacing w:before="229" w:line="363" w:lineRule="auto"/>
        <w:ind w:right="51"/>
        <w:rPr>
          <w:rFonts w:hint="eastAsia"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49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养老服务体系建设的法治化保障研究</w:t>
      </w:r>
    </w:p>
    <w:p>
      <w:pPr>
        <w:spacing w:before="229" w:line="363" w:lineRule="auto"/>
        <w:ind w:right="51"/>
        <w:rPr>
          <w:rFonts w:hint="eastAsia"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50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网络直播营销的行政法规制研究</w:t>
      </w:r>
    </w:p>
    <w:p>
      <w:pPr>
        <w:spacing w:before="229" w:line="363" w:lineRule="auto"/>
        <w:ind w:right="51"/>
        <w:rPr>
          <w:rFonts w:hint="eastAsia"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51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人工智能发展中的重大安全风险防范体系研究</w:t>
      </w:r>
    </w:p>
    <w:p>
      <w:pPr>
        <w:spacing w:before="229" w:line="363" w:lineRule="auto"/>
        <w:ind w:right="51"/>
        <w:rPr>
          <w:rFonts w:hint="eastAsia"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52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算法自动化决策中多元风险的法律治理研究</w:t>
      </w:r>
    </w:p>
    <w:p>
      <w:pPr>
        <w:spacing w:before="229" w:line="363" w:lineRule="auto"/>
        <w:ind w:right="51"/>
        <w:rPr>
          <w:rFonts w:hint="eastAsia"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53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  <w:t>、“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数字弱势群体”的权益保护机制研究</w:t>
      </w:r>
    </w:p>
    <w:p>
      <w:pPr>
        <w:spacing w:before="229" w:line="363" w:lineRule="auto"/>
        <w:ind w:right="51"/>
        <w:rPr>
          <w:rFonts w:hint="eastAsia"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54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EPC工程总承包业务中若干法律问题研究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before="104" w:line="221" w:lineRule="auto"/>
        <w:ind w:firstLine="4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3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社会学</w:t>
      </w:r>
    </w:p>
    <w:p>
      <w:pPr>
        <w:spacing w:before="232" w:line="359" w:lineRule="auto"/>
        <w:ind w:right="619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55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绿色低碳社会生活方式研究</w:t>
      </w:r>
    </w:p>
    <w:p>
      <w:pPr>
        <w:spacing w:before="232" w:line="359" w:lineRule="auto"/>
        <w:ind w:right="619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56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技术创新与社会生活方式转型研究</w:t>
      </w:r>
    </w:p>
    <w:p>
      <w:pPr>
        <w:spacing w:before="232" w:line="359" w:lineRule="auto"/>
        <w:ind w:right="619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57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新型公共文化空间的发展策略研究</w:t>
      </w:r>
    </w:p>
    <w:p>
      <w:pPr>
        <w:spacing w:before="232" w:line="359" w:lineRule="auto"/>
        <w:ind w:right="619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58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社区文化功能建设发展研究</w:t>
      </w:r>
    </w:p>
    <w:p>
      <w:pPr>
        <w:spacing w:before="232" w:line="359" w:lineRule="auto"/>
        <w:ind w:right="619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59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经济社会转型条件下新职业群体研究</w:t>
      </w:r>
    </w:p>
    <w:p>
      <w:pPr>
        <w:spacing w:before="232" w:line="359" w:lineRule="auto"/>
        <w:ind w:right="619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60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新业态经济与劳动者社会结构变迁研究</w:t>
      </w:r>
    </w:p>
    <w:p>
      <w:pPr>
        <w:spacing w:before="232" w:line="359" w:lineRule="auto"/>
        <w:ind w:right="619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61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灵活就业工作对家庭生活方式的影响研究</w:t>
      </w:r>
    </w:p>
    <w:p>
      <w:pPr>
        <w:spacing w:before="232" w:line="359" w:lineRule="auto"/>
        <w:ind w:right="619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62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教育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双减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的家庭反应与影响研究</w:t>
      </w:r>
    </w:p>
    <w:p>
      <w:pPr>
        <w:spacing w:before="232" w:line="359" w:lineRule="auto"/>
        <w:ind w:right="619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63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河南留守人口变化趋势研究</w:t>
      </w:r>
    </w:p>
    <w:p>
      <w:pPr>
        <w:spacing w:before="232" w:line="359" w:lineRule="auto"/>
        <w:ind w:right="619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64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河南社会心理服务体系建设与社会治理研究</w:t>
      </w:r>
    </w:p>
    <w:p>
      <w:pPr>
        <w:spacing w:before="232" w:line="359" w:lineRule="auto"/>
        <w:ind w:right="619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65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积极应对人口老龄化背景下河南健全养老服务体系研究</w:t>
      </w:r>
    </w:p>
    <w:p>
      <w:pPr>
        <w:spacing w:before="232" w:line="359" w:lineRule="auto"/>
        <w:ind w:right="619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66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河南养老服务人才队伍现状、存在问题及发展对策研究</w:t>
      </w:r>
    </w:p>
    <w:p>
      <w:pPr>
        <w:spacing w:before="105" w:line="221" w:lineRule="auto"/>
        <w:ind w:firstLine="4"/>
        <w:rPr>
          <w:rFonts w:hint="eastAsia" w:ascii="仿宋_GB2312" w:hAnsi="仿宋_GB2312" w:eastAsia="仿宋_GB2312" w:cs="仿宋_GB2312"/>
          <w:spacing w:val="-3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105" w:line="221" w:lineRule="auto"/>
        <w:ind w:firstLine="4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3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教育学</w:t>
      </w:r>
    </w:p>
    <w:p>
      <w:pPr>
        <w:spacing w:before="224" w:line="377" w:lineRule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67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新时代思想政治教育创新发展研究</w:t>
      </w:r>
    </w:p>
    <w:p>
      <w:pPr>
        <w:spacing w:before="224" w:line="377" w:lineRule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68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新时代思政课教育教学规律、学生认知规律和接受特点研究</w:t>
      </w:r>
    </w:p>
    <w:p>
      <w:pPr>
        <w:spacing w:before="239" w:line="362" w:lineRule="auto"/>
        <w:ind w:right="63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69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新时代高校思政课教学质量评价体系研究</w:t>
      </w:r>
    </w:p>
    <w:p>
      <w:pPr>
        <w:spacing w:before="239" w:line="362" w:lineRule="auto"/>
        <w:ind w:right="63"/>
        <w:rPr>
          <w:rFonts w:hint="eastAsia" w:ascii="仿宋_GB2312" w:hAnsi="仿宋_GB2312" w:eastAsia="仿宋_GB2312" w:cs="仿宋_GB2312"/>
          <w:spacing w:val="-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70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大中小学思政课一体化建设研究</w:t>
      </w:r>
    </w:p>
    <w:p>
      <w:pPr>
        <w:spacing w:before="239" w:line="362" w:lineRule="auto"/>
        <w:ind w:right="63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71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思政课教学中社会思潮辨析引导研究</w:t>
      </w:r>
    </w:p>
    <w:p>
      <w:pPr>
        <w:spacing w:before="239" w:line="362" w:lineRule="auto"/>
        <w:ind w:right="63"/>
        <w:rPr>
          <w:rFonts w:hint="eastAsia" w:ascii="仿宋_GB2312" w:hAnsi="仿宋_GB2312" w:eastAsia="仿宋_GB2312" w:cs="仿宋_GB2312"/>
          <w:spacing w:val="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72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  <w:lang w:eastAsia="zh-CN"/>
        </w:rPr>
        <w:t>、“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互联网+教育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促进城乡教育均等化的机制研究</w:t>
      </w:r>
    </w:p>
    <w:p>
      <w:pPr>
        <w:spacing w:before="239" w:line="362" w:lineRule="auto"/>
        <w:ind w:right="63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73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促进河南义务教育优质均衡发展研究</w:t>
      </w:r>
    </w:p>
    <w:p>
      <w:pPr>
        <w:spacing w:before="239" w:line="362" w:lineRule="auto"/>
        <w:ind w:right="63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74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协同创新视角下河南省高校科技创新能力提升研究</w:t>
      </w:r>
    </w:p>
    <w:p>
      <w:pPr>
        <w:spacing w:before="239" w:line="362" w:lineRule="auto"/>
        <w:ind w:right="63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75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河南高校新文科建设发展研究</w:t>
      </w:r>
    </w:p>
    <w:p>
      <w:pPr>
        <w:spacing w:before="239" w:line="362" w:lineRule="auto"/>
        <w:ind w:right="63"/>
        <w:rPr>
          <w:rFonts w:hint="eastAsia" w:ascii="仿宋_GB2312" w:hAnsi="仿宋_GB2312" w:eastAsia="仿宋_GB2312" w:cs="仿宋_GB2312"/>
          <w:spacing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76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  <w:lang w:eastAsia="zh-CN"/>
        </w:rPr>
        <w:t>、“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十四五”时期体育改革重大问题研究</w:t>
      </w:r>
    </w:p>
    <w:p>
      <w:pPr>
        <w:spacing w:before="239" w:line="362" w:lineRule="auto"/>
        <w:ind w:right="63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8"/>
          <w:w w:val="102"/>
          <w:sz w:val="32"/>
          <w:szCs w:val="32"/>
        </w:rPr>
        <w:t>77</w:t>
      </w:r>
      <w:r>
        <w:rPr>
          <w:rFonts w:hint="eastAsia" w:ascii="仿宋_GB2312" w:hAnsi="仿宋_GB2312" w:eastAsia="仿宋_GB2312" w:cs="仿宋_GB2312"/>
          <w:spacing w:val="18"/>
          <w:w w:val="10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18"/>
          <w:w w:val="102"/>
          <w:sz w:val="32"/>
          <w:szCs w:val="32"/>
        </w:rPr>
        <w:t>新发展阶段</w:t>
      </w:r>
      <w:r>
        <w:rPr>
          <w:rFonts w:hint="eastAsia" w:ascii="仿宋_GB2312" w:hAnsi="仿宋_GB2312" w:eastAsia="仿宋_GB2312" w:cs="仿宋_GB2312"/>
          <w:spacing w:val="18"/>
          <w:w w:val="10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pacing w:val="18"/>
          <w:w w:val="102"/>
          <w:sz w:val="32"/>
          <w:szCs w:val="32"/>
        </w:rPr>
        <w:t>体教融合</w:t>
      </w:r>
      <w:r>
        <w:rPr>
          <w:rFonts w:hint="eastAsia" w:ascii="仿宋_GB2312" w:hAnsi="仿宋_GB2312" w:eastAsia="仿宋_GB2312" w:cs="仿宋_GB2312"/>
          <w:spacing w:val="18"/>
          <w:w w:val="102"/>
          <w:sz w:val="32"/>
          <w:szCs w:val="32"/>
          <w:lang w:eastAsia="zh-CN"/>
        </w:rPr>
        <w:t>”“</w:t>
      </w:r>
      <w:r>
        <w:rPr>
          <w:rFonts w:hint="eastAsia" w:ascii="仿宋_GB2312" w:hAnsi="仿宋_GB2312" w:eastAsia="仿宋_GB2312" w:cs="仿宋_GB2312"/>
          <w:spacing w:val="18"/>
          <w:w w:val="102"/>
          <w:sz w:val="32"/>
          <w:szCs w:val="32"/>
        </w:rPr>
        <w:t>体卫融合</w:t>
      </w:r>
      <w:r>
        <w:rPr>
          <w:rFonts w:hint="eastAsia" w:ascii="仿宋_GB2312" w:hAnsi="仿宋_GB2312" w:eastAsia="仿宋_GB2312" w:cs="仿宋_GB2312"/>
          <w:spacing w:val="18"/>
          <w:w w:val="102"/>
          <w:sz w:val="32"/>
          <w:szCs w:val="32"/>
          <w:lang w:eastAsia="zh-CN"/>
        </w:rPr>
        <w:t>”“</w:t>
      </w:r>
      <w:r>
        <w:rPr>
          <w:rFonts w:hint="eastAsia" w:ascii="仿宋_GB2312" w:hAnsi="仿宋_GB2312" w:eastAsia="仿宋_GB2312" w:cs="仿宋_GB2312"/>
          <w:spacing w:val="18"/>
          <w:w w:val="102"/>
          <w:sz w:val="32"/>
          <w:szCs w:val="32"/>
        </w:rPr>
        <w:t>体医融合</w:t>
      </w:r>
      <w:r>
        <w:rPr>
          <w:rFonts w:hint="eastAsia" w:ascii="仿宋_GB2312" w:hAnsi="仿宋_GB2312" w:eastAsia="仿宋_GB2312" w:cs="仿宋_GB2312"/>
          <w:spacing w:val="18"/>
          <w:w w:val="102"/>
          <w:sz w:val="32"/>
          <w:szCs w:val="32"/>
          <w:lang w:eastAsia="zh-CN"/>
        </w:rPr>
        <w:t>”“</w:t>
      </w:r>
      <w:r>
        <w:rPr>
          <w:rFonts w:hint="eastAsia" w:ascii="仿宋_GB2312" w:hAnsi="仿宋_GB2312" w:eastAsia="仿宋_GB2312" w:cs="仿宋_GB2312"/>
          <w:spacing w:val="18"/>
          <w:w w:val="102"/>
          <w:sz w:val="32"/>
          <w:szCs w:val="32"/>
        </w:rPr>
        <w:t>体旅融</w:t>
      </w:r>
      <w:r>
        <w:rPr>
          <w:rFonts w:hint="eastAsia" w:ascii="仿宋_GB2312" w:hAnsi="仿宋_GB2312" w:eastAsia="仿宋_GB2312" w:cs="仿宋_GB2312"/>
          <w:spacing w:val="16"/>
          <w:w w:val="101"/>
          <w:sz w:val="32"/>
          <w:szCs w:val="32"/>
        </w:rPr>
        <w:t>合</w:t>
      </w:r>
      <w:r>
        <w:rPr>
          <w:rFonts w:hint="eastAsia" w:ascii="仿宋_GB2312" w:hAnsi="仿宋_GB2312" w:eastAsia="仿宋_GB2312" w:cs="仿宋_GB2312"/>
          <w:spacing w:val="16"/>
          <w:w w:val="101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pacing w:val="16"/>
          <w:w w:val="101"/>
          <w:sz w:val="32"/>
          <w:szCs w:val="32"/>
        </w:rPr>
        <w:t>理论与实践研究(分专题分领域)</w:t>
      </w:r>
    </w:p>
    <w:p>
      <w:pPr>
        <w:spacing w:line="244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44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before="104" w:line="221" w:lineRule="auto"/>
        <w:ind w:firstLine="4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3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文学·语言学</w:t>
      </w:r>
    </w:p>
    <w:p>
      <w:pPr>
        <w:spacing w:before="239" w:line="362" w:lineRule="auto"/>
        <w:ind w:right="63"/>
        <w:rPr>
          <w:rFonts w:hint="eastAsia" w:ascii="仿宋_GB2312" w:hAnsi="仿宋_GB2312" w:eastAsia="仿宋_GB2312" w:cs="仿宋_GB2312"/>
          <w:spacing w:val="18"/>
          <w:w w:val="10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8"/>
          <w:w w:val="102"/>
          <w:sz w:val="32"/>
          <w:szCs w:val="32"/>
        </w:rPr>
        <w:t>78</w:t>
      </w:r>
      <w:r>
        <w:rPr>
          <w:rFonts w:hint="eastAsia" w:ascii="仿宋_GB2312" w:hAnsi="仿宋_GB2312" w:eastAsia="仿宋_GB2312" w:cs="仿宋_GB2312"/>
          <w:spacing w:val="18"/>
          <w:w w:val="10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18"/>
          <w:w w:val="102"/>
          <w:sz w:val="32"/>
          <w:szCs w:val="32"/>
        </w:rPr>
        <w:t>新时期以来中国重要文艺思潮发生机制研究</w:t>
      </w:r>
    </w:p>
    <w:p>
      <w:pPr>
        <w:spacing w:before="239" w:line="362" w:lineRule="auto"/>
        <w:ind w:right="63"/>
        <w:rPr>
          <w:rFonts w:hint="eastAsia" w:ascii="仿宋_GB2312" w:hAnsi="仿宋_GB2312" w:eastAsia="仿宋_GB2312" w:cs="仿宋_GB2312"/>
          <w:spacing w:val="18"/>
          <w:w w:val="10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8"/>
          <w:w w:val="102"/>
          <w:sz w:val="32"/>
          <w:szCs w:val="32"/>
        </w:rPr>
        <w:t>79</w:t>
      </w:r>
      <w:r>
        <w:rPr>
          <w:rFonts w:hint="eastAsia" w:ascii="仿宋_GB2312" w:hAnsi="仿宋_GB2312" w:eastAsia="仿宋_GB2312" w:cs="仿宋_GB2312"/>
          <w:spacing w:val="18"/>
          <w:w w:val="10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18"/>
          <w:w w:val="102"/>
          <w:sz w:val="32"/>
          <w:szCs w:val="32"/>
        </w:rPr>
        <w:t>中国传统文化对中国当代文学的影响研究</w:t>
      </w:r>
    </w:p>
    <w:p>
      <w:pPr>
        <w:spacing w:before="239" w:line="362" w:lineRule="auto"/>
        <w:ind w:right="63"/>
        <w:rPr>
          <w:rFonts w:hint="eastAsia" w:ascii="仿宋_GB2312" w:hAnsi="仿宋_GB2312" w:eastAsia="仿宋_GB2312" w:cs="仿宋_GB2312"/>
          <w:spacing w:val="18"/>
          <w:w w:val="10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8"/>
          <w:w w:val="102"/>
          <w:sz w:val="32"/>
          <w:szCs w:val="32"/>
        </w:rPr>
        <w:t>80</w:t>
      </w:r>
      <w:r>
        <w:rPr>
          <w:rFonts w:hint="eastAsia" w:ascii="仿宋_GB2312" w:hAnsi="仿宋_GB2312" w:eastAsia="仿宋_GB2312" w:cs="仿宋_GB2312"/>
          <w:spacing w:val="18"/>
          <w:w w:val="10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18"/>
          <w:w w:val="102"/>
          <w:sz w:val="32"/>
          <w:szCs w:val="32"/>
        </w:rPr>
        <w:t>中国当代网络文学的理论化研究</w:t>
      </w:r>
    </w:p>
    <w:p>
      <w:pPr>
        <w:spacing w:before="239" w:line="362" w:lineRule="auto"/>
        <w:ind w:right="63"/>
        <w:rPr>
          <w:rFonts w:hint="eastAsia" w:ascii="仿宋_GB2312" w:hAnsi="仿宋_GB2312" w:eastAsia="仿宋_GB2312" w:cs="仿宋_GB2312"/>
          <w:spacing w:val="18"/>
          <w:w w:val="10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8"/>
          <w:w w:val="102"/>
          <w:sz w:val="32"/>
          <w:szCs w:val="32"/>
        </w:rPr>
        <w:t>81</w:t>
      </w:r>
      <w:r>
        <w:rPr>
          <w:rFonts w:hint="eastAsia" w:ascii="仿宋_GB2312" w:hAnsi="仿宋_GB2312" w:eastAsia="仿宋_GB2312" w:cs="仿宋_GB2312"/>
          <w:spacing w:val="18"/>
          <w:w w:val="10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18"/>
          <w:w w:val="102"/>
          <w:sz w:val="32"/>
          <w:szCs w:val="32"/>
        </w:rPr>
        <w:t>当代网络文学的IP化(影视改编)研究</w:t>
      </w:r>
    </w:p>
    <w:p>
      <w:pPr>
        <w:spacing w:before="239" w:line="362" w:lineRule="auto"/>
        <w:ind w:right="63"/>
        <w:rPr>
          <w:rFonts w:hint="eastAsia" w:ascii="仿宋_GB2312" w:hAnsi="仿宋_GB2312" w:eastAsia="仿宋_GB2312" w:cs="仿宋_GB2312"/>
          <w:spacing w:val="18"/>
          <w:w w:val="10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8"/>
          <w:w w:val="102"/>
          <w:sz w:val="32"/>
          <w:szCs w:val="32"/>
        </w:rPr>
        <w:t>82</w:t>
      </w:r>
      <w:r>
        <w:rPr>
          <w:rFonts w:hint="eastAsia" w:ascii="仿宋_GB2312" w:hAnsi="仿宋_GB2312" w:eastAsia="仿宋_GB2312" w:cs="仿宋_GB2312"/>
          <w:spacing w:val="18"/>
          <w:w w:val="10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18"/>
          <w:w w:val="102"/>
          <w:sz w:val="32"/>
          <w:szCs w:val="32"/>
        </w:rPr>
        <w:t>网络语言的规范化研究</w:t>
      </w:r>
    </w:p>
    <w:p>
      <w:pPr>
        <w:spacing w:before="239" w:line="362" w:lineRule="auto"/>
        <w:ind w:right="63"/>
        <w:rPr>
          <w:rFonts w:hint="eastAsia" w:ascii="仿宋_GB2312" w:hAnsi="仿宋_GB2312" w:eastAsia="仿宋_GB2312" w:cs="仿宋_GB2312"/>
          <w:spacing w:val="18"/>
          <w:w w:val="10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8"/>
          <w:w w:val="102"/>
          <w:sz w:val="32"/>
          <w:szCs w:val="32"/>
        </w:rPr>
        <w:t>83</w:t>
      </w:r>
      <w:r>
        <w:rPr>
          <w:rFonts w:hint="eastAsia" w:ascii="仿宋_GB2312" w:hAnsi="仿宋_GB2312" w:eastAsia="仿宋_GB2312" w:cs="仿宋_GB2312"/>
          <w:spacing w:val="18"/>
          <w:w w:val="10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18"/>
          <w:w w:val="102"/>
          <w:sz w:val="32"/>
          <w:szCs w:val="32"/>
        </w:rPr>
        <w:t>网络流行语与社会心理研究</w:t>
      </w:r>
    </w:p>
    <w:p>
      <w:pPr>
        <w:spacing w:before="239" w:line="362" w:lineRule="auto"/>
        <w:ind w:right="63"/>
        <w:rPr>
          <w:rFonts w:hint="eastAsia" w:ascii="仿宋_GB2312" w:hAnsi="仿宋_GB2312" w:eastAsia="仿宋_GB2312" w:cs="仿宋_GB2312"/>
          <w:spacing w:val="18"/>
          <w:w w:val="10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8"/>
          <w:w w:val="102"/>
          <w:sz w:val="32"/>
          <w:szCs w:val="32"/>
        </w:rPr>
        <w:t>84</w:t>
      </w:r>
      <w:r>
        <w:rPr>
          <w:rFonts w:hint="eastAsia" w:ascii="仿宋_GB2312" w:hAnsi="仿宋_GB2312" w:eastAsia="仿宋_GB2312" w:cs="仿宋_GB2312"/>
          <w:spacing w:val="18"/>
          <w:w w:val="10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18"/>
          <w:w w:val="102"/>
          <w:sz w:val="32"/>
          <w:szCs w:val="32"/>
        </w:rPr>
        <w:t>城市新社会阶层的语言使用和身份认同研究</w:t>
      </w:r>
    </w:p>
    <w:p>
      <w:pPr>
        <w:spacing w:line="253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before="104" w:line="221" w:lineRule="auto"/>
        <w:ind w:firstLine="4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新闻传播学·图书馆情报学</w:t>
      </w:r>
    </w:p>
    <w:p>
      <w:pPr>
        <w:spacing w:before="239" w:line="362" w:lineRule="auto"/>
        <w:ind w:right="63"/>
        <w:rPr>
          <w:rFonts w:hint="eastAsia" w:ascii="仿宋_GB2312" w:hAnsi="仿宋_GB2312" w:eastAsia="仿宋_GB2312" w:cs="仿宋_GB2312"/>
          <w:spacing w:val="18"/>
          <w:w w:val="10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8"/>
          <w:w w:val="102"/>
          <w:sz w:val="32"/>
          <w:szCs w:val="32"/>
        </w:rPr>
        <w:t>85</w:t>
      </w:r>
      <w:r>
        <w:rPr>
          <w:rFonts w:hint="eastAsia" w:ascii="仿宋_GB2312" w:hAnsi="仿宋_GB2312" w:eastAsia="仿宋_GB2312" w:cs="仿宋_GB2312"/>
          <w:spacing w:val="18"/>
          <w:w w:val="10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18"/>
          <w:w w:val="102"/>
          <w:sz w:val="32"/>
          <w:szCs w:val="32"/>
        </w:rPr>
        <w:t>加强网络文明建设研究</w:t>
      </w:r>
    </w:p>
    <w:p>
      <w:pPr>
        <w:spacing w:before="239" w:line="362" w:lineRule="auto"/>
        <w:ind w:right="63"/>
        <w:rPr>
          <w:rFonts w:hint="eastAsia" w:ascii="仿宋_GB2312" w:hAnsi="仿宋_GB2312" w:eastAsia="仿宋_GB2312" w:cs="仿宋_GB2312"/>
          <w:spacing w:val="18"/>
          <w:w w:val="10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8"/>
          <w:w w:val="102"/>
          <w:sz w:val="32"/>
          <w:szCs w:val="32"/>
        </w:rPr>
        <w:t>86</w:t>
      </w:r>
      <w:r>
        <w:rPr>
          <w:rFonts w:hint="eastAsia" w:ascii="仿宋_GB2312" w:hAnsi="仿宋_GB2312" w:eastAsia="仿宋_GB2312" w:cs="仿宋_GB2312"/>
          <w:spacing w:val="18"/>
          <w:w w:val="10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18"/>
          <w:w w:val="102"/>
          <w:sz w:val="32"/>
          <w:szCs w:val="32"/>
        </w:rPr>
        <w:t>新时代红色文化价值传播研究</w:t>
      </w:r>
    </w:p>
    <w:p>
      <w:pPr>
        <w:spacing w:before="239" w:line="362" w:lineRule="auto"/>
        <w:ind w:right="63"/>
        <w:rPr>
          <w:rFonts w:hint="eastAsia" w:ascii="仿宋_GB2312" w:hAnsi="仿宋_GB2312" w:eastAsia="仿宋_GB2312" w:cs="仿宋_GB2312"/>
          <w:spacing w:val="18"/>
          <w:w w:val="10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8"/>
          <w:w w:val="102"/>
          <w:sz w:val="32"/>
          <w:szCs w:val="32"/>
        </w:rPr>
        <w:t>87</w:t>
      </w:r>
      <w:r>
        <w:rPr>
          <w:rFonts w:hint="eastAsia" w:ascii="仿宋_GB2312" w:hAnsi="仿宋_GB2312" w:eastAsia="仿宋_GB2312" w:cs="仿宋_GB2312"/>
          <w:spacing w:val="18"/>
          <w:w w:val="10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18"/>
          <w:w w:val="102"/>
          <w:sz w:val="32"/>
          <w:szCs w:val="32"/>
        </w:rPr>
        <w:t>非公资本进入新媒体领域的影响及对策研究</w:t>
      </w:r>
    </w:p>
    <w:p>
      <w:pPr>
        <w:spacing w:before="239" w:line="362" w:lineRule="auto"/>
        <w:ind w:right="63"/>
        <w:rPr>
          <w:rFonts w:hint="eastAsia" w:ascii="仿宋_GB2312" w:hAnsi="仿宋_GB2312" w:eastAsia="仿宋_GB2312" w:cs="仿宋_GB2312"/>
          <w:spacing w:val="18"/>
          <w:w w:val="10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8"/>
          <w:w w:val="102"/>
          <w:sz w:val="32"/>
          <w:szCs w:val="32"/>
        </w:rPr>
        <w:t>88</w:t>
      </w:r>
      <w:r>
        <w:rPr>
          <w:rFonts w:hint="eastAsia" w:ascii="仿宋_GB2312" w:hAnsi="仿宋_GB2312" w:eastAsia="仿宋_GB2312" w:cs="仿宋_GB2312"/>
          <w:spacing w:val="18"/>
          <w:w w:val="10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18"/>
          <w:w w:val="102"/>
          <w:sz w:val="32"/>
          <w:szCs w:val="32"/>
        </w:rPr>
        <w:t>互联网平台社会责任治理研究</w:t>
      </w:r>
    </w:p>
    <w:p>
      <w:pPr>
        <w:spacing w:before="239" w:line="362" w:lineRule="auto"/>
        <w:ind w:right="63"/>
        <w:rPr>
          <w:rFonts w:hint="eastAsia" w:ascii="仿宋_GB2312" w:hAnsi="仿宋_GB2312" w:eastAsia="仿宋_GB2312" w:cs="仿宋_GB2312"/>
          <w:spacing w:val="18"/>
          <w:w w:val="10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8"/>
          <w:w w:val="102"/>
          <w:sz w:val="32"/>
          <w:szCs w:val="32"/>
        </w:rPr>
        <w:t>89</w:t>
      </w:r>
      <w:r>
        <w:rPr>
          <w:rFonts w:hint="eastAsia" w:ascii="仿宋_GB2312" w:hAnsi="仿宋_GB2312" w:eastAsia="仿宋_GB2312" w:cs="仿宋_GB2312"/>
          <w:spacing w:val="18"/>
          <w:w w:val="10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18"/>
          <w:w w:val="102"/>
          <w:sz w:val="32"/>
          <w:szCs w:val="32"/>
        </w:rPr>
        <w:t>智能算法与传播秩序研究</w:t>
      </w:r>
    </w:p>
    <w:p>
      <w:pPr>
        <w:spacing w:before="239" w:line="362" w:lineRule="auto"/>
        <w:ind w:right="63"/>
        <w:rPr>
          <w:rFonts w:hint="eastAsia" w:ascii="仿宋_GB2312" w:hAnsi="仿宋_GB2312" w:eastAsia="仿宋_GB2312" w:cs="仿宋_GB2312"/>
          <w:spacing w:val="18"/>
          <w:w w:val="10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8"/>
          <w:w w:val="102"/>
          <w:sz w:val="32"/>
          <w:szCs w:val="32"/>
        </w:rPr>
        <w:t>90</w:t>
      </w:r>
      <w:r>
        <w:rPr>
          <w:rFonts w:hint="eastAsia" w:ascii="仿宋_GB2312" w:hAnsi="仿宋_GB2312" w:eastAsia="仿宋_GB2312" w:cs="仿宋_GB2312"/>
          <w:spacing w:val="18"/>
          <w:w w:val="10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18"/>
          <w:w w:val="102"/>
          <w:sz w:val="32"/>
          <w:szCs w:val="32"/>
        </w:rPr>
        <w:t>重大突发事件中网络谣言的治理研究</w:t>
      </w:r>
    </w:p>
    <w:p>
      <w:pPr>
        <w:spacing w:before="239" w:line="362" w:lineRule="auto"/>
        <w:ind w:right="63"/>
        <w:rPr>
          <w:rFonts w:hint="eastAsia" w:ascii="仿宋_GB2312" w:hAnsi="仿宋_GB2312" w:eastAsia="仿宋_GB2312" w:cs="仿宋_GB2312"/>
          <w:spacing w:val="18"/>
          <w:w w:val="10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8"/>
          <w:w w:val="102"/>
          <w:sz w:val="32"/>
          <w:szCs w:val="32"/>
        </w:rPr>
        <w:t>91</w:t>
      </w:r>
      <w:r>
        <w:rPr>
          <w:rFonts w:hint="eastAsia" w:ascii="仿宋_GB2312" w:hAnsi="仿宋_GB2312" w:eastAsia="仿宋_GB2312" w:cs="仿宋_GB2312"/>
          <w:spacing w:val="18"/>
          <w:w w:val="10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18"/>
          <w:w w:val="102"/>
          <w:sz w:val="32"/>
          <w:szCs w:val="32"/>
        </w:rPr>
        <w:t>大数据疫情防控时代的隐私焦虑与媒体报道边界研究</w:t>
      </w:r>
    </w:p>
    <w:p>
      <w:pPr>
        <w:spacing w:before="239" w:line="362" w:lineRule="auto"/>
        <w:ind w:right="63"/>
        <w:rPr>
          <w:rFonts w:hint="eastAsia" w:ascii="仿宋_GB2312" w:hAnsi="仿宋_GB2312" w:eastAsia="仿宋_GB2312" w:cs="仿宋_GB2312"/>
          <w:spacing w:val="18"/>
          <w:w w:val="10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8"/>
          <w:w w:val="102"/>
          <w:sz w:val="32"/>
          <w:szCs w:val="32"/>
        </w:rPr>
        <w:t>92</w:t>
      </w:r>
      <w:r>
        <w:rPr>
          <w:rFonts w:hint="eastAsia" w:ascii="仿宋_GB2312" w:hAnsi="仿宋_GB2312" w:eastAsia="仿宋_GB2312" w:cs="仿宋_GB2312"/>
          <w:spacing w:val="18"/>
          <w:w w:val="102"/>
          <w:sz w:val="32"/>
          <w:szCs w:val="32"/>
          <w:lang w:eastAsia="zh-CN"/>
        </w:rPr>
        <w:t>、“</w:t>
      </w:r>
      <w:r>
        <w:rPr>
          <w:rFonts w:hint="eastAsia" w:ascii="仿宋_GB2312" w:hAnsi="仿宋_GB2312" w:eastAsia="仿宋_GB2312" w:cs="仿宋_GB2312"/>
          <w:spacing w:val="18"/>
          <w:w w:val="102"/>
          <w:sz w:val="32"/>
          <w:szCs w:val="32"/>
        </w:rPr>
        <w:t>十四五”时期公共图书馆高质量发展研究</w:t>
      </w:r>
    </w:p>
    <w:p>
      <w:pPr>
        <w:spacing w:before="239" w:line="362" w:lineRule="auto"/>
        <w:ind w:right="63"/>
        <w:rPr>
          <w:rFonts w:hint="eastAsia" w:ascii="仿宋_GB2312" w:hAnsi="仿宋_GB2312" w:eastAsia="仿宋_GB2312" w:cs="仿宋_GB2312"/>
          <w:spacing w:val="18"/>
          <w:w w:val="10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8"/>
          <w:w w:val="102"/>
          <w:sz w:val="32"/>
          <w:szCs w:val="32"/>
        </w:rPr>
        <w:t>93</w:t>
      </w:r>
      <w:r>
        <w:rPr>
          <w:rFonts w:hint="eastAsia" w:ascii="仿宋_GB2312" w:hAnsi="仿宋_GB2312" w:eastAsia="仿宋_GB2312" w:cs="仿宋_GB2312"/>
          <w:spacing w:val="18"/>
          <w:w w:val="10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18"/>
          <w:w w:val="102"/>
          <w:sz w:val="32"/>
          <w:szCs w:val="32"/>
        </w:rPr>
        <w:t>智慧图书馆建设研究</w:t>
      </w:r>
    </w:p>
    <w:p>
      <w:pPr>
        <w:spacing w:before="239" w:line="362" w:lineRule="auto"/>
        <w:ind w:right="63"/>
        <w:rPr>
          <w:rFonts w:hint="eastAsia" w:ascii="仿宋_GB2312" w:hAnsi="仿宋_GB2312" w:eastAsia="仿宋_GB2312" w:cs="仿宋_GB2312"/>
          <w:spacing w:val="18"/>
          <w:w w:val="10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8"/>
          <w:w w:val="102"/>
          <w:sz w:val="32"/>
          <w:szCs w:val="32"/>
        </w:rPr>
        <w:t>94</w:t>
      </w:r>
      <w:r>
        <w:rPr>
          <w:rFonts w:hint="eastAsia" w:ascii="仿宋_GB2312" w:hAnsi="仿宋_GB2312" w:eastAsia="仿宋_GB2312" w:cs="仿宋_GB2312"/>
          <w:spacing w:val="18"/>
          <w:w w:val="10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18"/>
          <w:w w:val="102"/>
          <w:sz w:val="32"/>
          <w:szCs w:val="32"/>
        </w:rPr>
        <w:t>网络环境下图书馆空间重塑与创新研究</w:t>
      </w:r>
    </w:p>
    <w:p>
      <w:pPr>
        <w:spacing w:before="239" w:line="362" w:lineRule="auto"/>
        <w:ind w:right="63"/>
        <w:rPr>
          <w:rFonts w:hint="eastAsia" w:ascii="仿宋_GB2312" w:hAnsi="仿宋_GB2312" w:eastAsia="仿宋_GB2312" w:cs="仿宋_GB2312"/>
          <w:spacing w:val="18"/>
          <w:w w:val="10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8"/>
          <w:w w:val="102"/>
          <w:sz w:val="32"/>
          <w:szCs w:val="32"/>
        </w:rPr>
        <w:t>95</w:t>
      </w:r>
      <w:r>
        <w:rPr>
          <w:rFonts w:hint="eastAsia" w:ascii="仿宋_GB2312" w:hAnsi="仿宋_GB2312" w:eastAsia="仿宋_GB2312" w:cs="仿宋_GB2312"/>
          <w:spacing w:val="18"/>
          <w:w w:val="10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18"/>
          <w:w w:val="102"/>
          <w:sz w:val="32"/>
          <w:szCs w:val="32"/>
        </w:rPr>
        <w:t>数智时代图书馆数据治理研究</w:t>
      </w:r>
    </w:p>
    <w:p>
      <w:pPr>
        <w:spacing w:before="239" w:line="362" w:lineRule="auto"/>
        <w:ind w:right="63"/>
        <w:rPr>
          <w:rFonts w:hint="eastAsia" w:ascii="仿宋_GB2312" w:hAnsi="仿宋_GB2312" w:eastAsia="仿宋_GB2312" w:cs="仿宋_GB2312"/>
          <w:spacing w:val="18"/>
          <w:w w:val="10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8"/>
          <w:w w:val="102"/>
          <w:sz w:val="32"/>
          <w:szCs w:val="32"/>
        </w:rPr>
        <w:t>96</w:t>
      </w:r>
      <w:r>
        <w:rPr>
          <w:rFonts w:hint="eastAsia" w:ascii="仿宋_GB2312" w:hAnsi="仿宋_GB2312" w:eastAsia="仿宋_GB2312" w:cs="仿宋_GB2312"/>
          <w:spacing w:val="18"/>
          <w:w w:val="10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18"/>
          <w:w w:val="102"/>
          <w:sz w:val="32"/>
          <w:szCs w:val="32"/>
        </w:rPr>
        <w:t>数智驱动的图书馆服务模式创新研究</w:t>
      </w:r>
    </w:p>
    <w:p>
      <w:pPr>
        <w:spacing w:before="104" w:line="221" w:lineRule="auto"/>
        <w:ind w:firstLine="4"/>
        <w:rPr>
          <w:rFonts w:hint="eastAsia" w:ascii="仿宋_GB2312" w:hAnsi="仿宋_GB2312" w:eastAsia="仿宋_GB2312" w:cs="仿宋_GB2312"/>
          <w:spacing w:val="3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104" w:line="221" w:lineRule="auto"/>
        <w:ind w:firstLine="4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3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经济学</w:t>
      </w:r>
    </w:p>
    <w:p>
      <w:pPr>
        <w:spacing w:before="209" w:line="365" w:lineRule="auto"/>
        <w:rPr>
          <w:rFonts w:hint="eastAsia" w:ascii="仿宋_GB2312" w:hAnsi="仿宋_GB2312" w:eastAsia="仿宋_GB2312" w:cs="仿宋_GB2312"/>
          <w:spacing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97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十个河南研究(围绕技能河南、设计河南、信用河南、标准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河南、体育河南、书香河南、法治河南、平安河南、美丽河南、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清廉河南分领域进行研究)</w:t>
      </w:r>
    </w:p>
    <w:p>
      <w:pPr>
        <w:spacing w:before="209" w:line="365" w:lineRule="auto"/>
        <w:rPr>
          <w:rFonts w:hint="eastAsia" w:ascii="仿宋_GB2312" w:hAnsi="仿宋_GB2312" w:eastAsia="仿宋_GB2312" w:cs="仿宋_GB2312"/>
          <w:spacing w:val="-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98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创新驱动科教兴省人才强省战略重点任务研究</w:t>
      </w:r>
    </w:p>
    <w:p>
      <w:pPr>
        <w:spacing w:before="209" w:line="365" w:lineRule="auto"/>
        <w:rPr>
          <w:rFonts w:hint="eastAsia" w:ascii="仿宋_GB2312" w:hAnsi="仿宋_GB2312" w:eastAsia="仿宋_GB2312" w:cs="仿宋_GB2312"/>
          <w:spacing w:val="-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99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优势再造战略重点任务研究</w:t>
      </w:r>
    </w:p>
    <w:p>
      <w:pPr>
        <w:spacing w:before="209" w:line="365" w:lineRule="auto"/>
        <w:rPr>
          <w:rFonts w:hint="eastAsia" w:ascii="仿宋_GB2312" w:hAnsi="仿宋_GB2312" w:eastAsia="仿宋_GB2312" w:cs="仿宋_GB2312"/>
          <w:spacing w:val="-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100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数字化转型战略重点任务研究</w:t>
      </w:r>
    </w:p>
    <w:p>
      <w:pPr>
        <w:spacing w:before="209" w:line="365" w:lineRule="auto"/>
        <w:rPr>
          <w:rFonts w:hint="eastAsia" w:ascii="仿宋_GB2312" w:hAnsi="仿宋_GB2312" w:eastAsia="仿宋_GB2312" w:cs="仿宋_GB2312"/>
          <w:spacing w:val="-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101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换道领跑战略重点任务研究</w:t>
      </w:r>
    </w:p>
    <w:p>
      <w:pPr>
        <w:spacing w:before="209" w:line="365" w:lineRule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102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文旅文创融合战略重点任务研究</w:t>
      </w:r>
    </w:p>
    <w:p>
      <w:pPr>
        <w:spacing w:before="209" w:line="365" w:lineRule="auto"/>
        <w:rPr>
          <w:rFonts w:hint="eastAsia" w:ascii="仿宋_GB2312" w:hAnsi="仿宋_GB2312" w:eastAsia="仿宋_GB2312" w:cs="仿宋_GB2312"/>
          <w:spacing w:val="-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103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以人为核心的新型城镇化战略重点任务研究</w:t>
      </w:r>
    </w:p>
    <w:p>
      <w:pPr>
        <w:spacing w:before="209" w:line="365" w:lineRule="auto"/>
        <w:rPr>
          <w:rFonts w:hint="eastAsia" w:ascii="仿宋_GB2312" w:hAnsi="仿宋_GB2312" w:eastAsia="仿宋_GB2312" w:cs="仿宋_GB2312"/>
          <w:spacing w:val="-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104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乡村振兴战略重点任务研究</w:t>
      </w:r>
    </w:p>
    <w:p>
      <w:pPr>
        <w:spacing w:before="209" w:line="365" w:lineRule="auto"/>
        <w:rPr>
          <w:rFonts w:hint="eastAsia" w:ascii="仿宋_GB2312" w:hAnsi="仿宋_GB2312" w:eastAsia="仿宋_GB2312" w:cs="仿宋_GB2312"/>
          <w:spacing w:val="-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105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绿色低碳转型战略重点任务研究</w:t>
      </w:r>
    </w:p>
    <w:p>
      <w:pPr>
        <w:spacing w:before="209" w:line="365" w:lineRule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106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制度型开放战略重点任务研究</w:t>
      </w:r>
    </w:p>
    <w:p>
      <w:pPr>
        <w:spacing w:before="209" w:line="365" w:lineRule="auto"/>
        <w:rPr>
          <w:rFonts w:hint="eastAsia" w:ascii="仿宋_GB2312" w:hAnsi="仿宋_GB2312" w:eastAsia="仿宋_GB2312" w:cs="仿宋_GB2312"/>
          <w:spacing w:val="-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107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全面深化改革战略重点任务研究</w:t>
      </w:r>
    </w:p>
    <w:p>
      <w:pPr>
        <w:spacing w:before="209" w:line="365" w:lineRule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108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南水北调生态保护与高质量发展研究</w:t>
      </w:r>
    </w:p>
    <w:p>
      <w:pPr>
        <w:spacing w:before="209" w:line="365" w:lineRule="auto"/>
        <w:rPr>
          <w:rFonts w:hint="eastAsia" w:ascii="仿宋_GB2312" w:hAnsi="仿宋_GB2312" w:eastAsia="仿宋_GB2312" w:cs="仿宋_GB2312"/>
          <w:spacing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109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河南参与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一带一路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建设的路径优化研究</w:t>
      </w:r>
    </w:p>
    <w:p>
      <w:pPr>
        <w:spacing w:before="209" w:line="365" w:lineRule="auto"/>
        <w:rPr>
          <w:rFonts w:hint="eastAsia" w:ascii="仿宋_GB2312" w:hAnsi="仿宋_GB2312" w:eastAsia="仿宋_GB2312" w:cs="仿宋_GB2312"/>
          <w:spacing w:val="3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1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加快河南航空枢纽经济发展与战略支撑体系建设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lang w:eastAsia="zh-CN"/>
        </w:rPr>
        <w:t>研究</w:t>
      </w:r>
    </w:p>
    <w:p>
      <w:pPr>
        <w:spacing w:before="209" w:line="365" w:lineRule="auto"/>
        <w:rPr>
          <w:rFonts w:hint="eastAsia" w:ascii="仿宋_GB2312" w:hAnsi="仿宋_GB2312" w:eastAsia="仿宋_GB2312" w:cs="仿宋_GB2312"/>
          <w:spacing w:val="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3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河南建设国家创新高地的实施路径研究</w:t>
      </w:r>
    </w:p>
    <w:p>
      <w:pPr>
        <w:spacing w:before="209" w:line="365" w:lineRule="auto"/>
        <w:rPr>
          <w:rFonts w:hint="eastAsia" w:ascii="仿宋_GB2312" w:hAnsi="仿宋_GB2312" w:eastAsia="仿宋_GB2312" w:cs="仿宋_GB2312"/>
          <w:spacing w:val="-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112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河南加快打造一流创新生态研究</w:t>
      </w:r>
    </w:p>
    <w:p>
      <w:pPr>
        <w:spacing w:before="209" w:line="365" w:lineRule="auto"/>
        <w:rPr>
          <w:rFonts w:hint="eastAsia" w:ascii="仿宋_GB2312" w:hAnsi="仿宋_GB2312" w:eastAsia="仿宋_GB2312" w:cs="仿宋_GB2312"/>
          <w:spacing w:val="-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113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河南海外高端人才引进研究</w:t>
      </w:r>
    </w:p>
    <w:p>
      <w:pPr>
        <w:spacing w:before="209" w:line="365" w:lineRule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114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新发展阶段河南产业链现代化的实现路径研究</w:t>
      </w:r>
    </w:p>
    <w:p>
      <w:pPr>
        <w:spacing w:before="209" w:line="365" w:lineRule="auto"/>
        <w:rPr>
          <w:rFonts w:hint="eastAsia" w:ascii="仿宋_GB2312" w:hAnsi="仿宋_GB2312" w:eastAsia="仿宋_GB2312" w:cs="仿宋_GB2312"/>
          <w:spacing w:val="-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115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河南制造业高质量发展研究</w:t>
      </w:r>
    </w:p>
    <w:p>
      <w:pPr>
        <w:spacing w:before="209" w:line="365" w:lineRule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116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河南优势传统产业数字化转型的关键制约与突破研究</w:t>
      </w:r>
    </w:p>
    <w:p>
      <w:pPr>
        <w:spacing w:before="209" w:line="365" w:lineRule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117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进一步深化混合所有制改革的重点、难点及对策研究</w:t>
      </w:r>
    </w:p>
    <w:p>
      <w:pPr>
        <w:spacing w:before="209" w:line="365" w:lineRule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118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碳达峰碳中和目标下河南产业的调整与升级研究</w:t>
      </w:r>
    </w:p>
    <w:p>
      <w:pPr>
        <w:spacing w:before="209" w:line="365" w:lineRule="auto"/>
        <w:rPr>
          <w:rFonts w:hint="eastAsia" w:ascii="仿宋_GB2312" w:hAnsi="仿宋_GB2312" w:eastAsia="仿宋_GB2312" w:cs="仿宋_GB2312"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119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  <w:lang w:eastAsia="zh-CN"/>
        </w:rPr>
        <w:t>、“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双碳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目标下河南能源结构优化研究</w:t>
      </w:r>
    </w:p>
    <w:p>
      <w:pPr>
        <w:spacing w:before="209" w:line="365" w:lineRule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120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河南构建区块链技术体系研究</w:t>
      </w:r>
    </w:p>
    <w:p>
      <w:pPr>
        <w:spacing w:before="209" w:line="365" w:lineRule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121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新发展格局下共同富裕的实现路径研究</w:t>
      </w:r>
    </w:p>
    <w:p>
      <w:pPr>
        <w:spacing w:before="209" w:line="365" w:lineRule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122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新发展阶段城乡融合发展研究</w:t>
      </w:r>
    </w:p>
    <w:p>
      <w:pPr>
        <w:spacing w:before="209" w:line="365" w:lineRule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123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新发展阶段下规模性返贫的防范与治理机制研究</w:t>
      </w:r>
    </w:p>
    <w:p>
      <w:pPr>
        <w:spacing w:before="209" w:line="365" w:lineRule="auto"/>
        <w:rPr>
          <w:rFonts w:hint="eastAsia" w:ascii="仿宋_GB2312" w:hAnsi="仿宋_GB2312" w:eastAsia="仿宋_GB2312" w:cs="仿宋_GB2312"/>
          <w:spacing w:val="-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124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河南县域治理现代化研究</w:t>
      </w:r>
    </w:p>
    <w:p>
      <w:pPr>
        <w:spacing w:before="209" w:line="365" w:lineRule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125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新发展格局下河南县域经济成高原研究</w:t>
      </w:r>
    </w:p>
    <w:p>
      <w:pPr>
        <w:spacing w:before="259" w:line="360" w:lineRule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126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河南创新土地托管模式研究</w:t>
      </w:r>
    </w:p>
    <w:p>
      <w:pPr>
        <w:spacing w:before="259" w:line="360" w:lineRule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127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新发展格局下河南土地流转的现状调查研究</w:t>
      </w:r>
    </w:p>
    <w:p>
      <w:pPr>
        <w:spacing w:before="259" w:line="360" w:lineRule="auto"/>
        <w:rPr>
          <w:rFonts w:hint="eastAsia"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128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河南农村宅基地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三权分置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改革试点工作成效评估研究</w:t>
      </w:r>
    </w:p>
    <w:p>
      <w:pPr>
        <w:spacing w:before="259" w:line="360" w:lineRule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129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农村集体经营性建设用地入市的实践及对策研究</w:t>
      </w:r>
    </w:p>
    <w:p>
      <w:pPr>
        <w:spacing w:before="259" w:line="360" w:lineRule="auto"/>
        <w:rPr>
          <w:rFonts w:hint="eastAsia" w:ascii="仿宋_GB2312" w:hAnsi="仿宋_GB2312" w:eastAsia="仿宋_GB2312" w:cs="仿宋_GB2312"/>
          <w:spacing w:val="7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130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新发展阶段农村基础设施和基本公共服务投融资体制机制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研究</w:t>
      </w:r>
    </w:p>
    <w:p>
      <w:pPr>
        <w:spacing w:before="259" w:line="360" w:lineRule="auto"/>
        <w:rPr>
          <w:rFonts w:hint="eastAsia" w:ascii="仿宋_GB2312" w:hAnsi="仿宋_GB2312" w:eastAsia="仿宋_GB2312" w:cs="仿宋_GB2312"/>
          <w:spacing w:val="-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131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鼓励国有企业和社会资本参与乡村振兴的路径和政策研究</w:t>
      </w:r>
    </w:p>
    <w:p>
      <w:pPr>
        <w:spacing w:before="259" w:line="360" w:lineRule="auto"/>
        <w:rPr>
          <w:rFonts w:hint="eastAsia" w:ascii="仿宋_GB2312" w:hAnsi="仿宋_GB2312" w:eastAsia="仿宋_GB2312" w:cs="仿宋_GB2312"/>
          <w:spacing w:val="-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132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河南粮食生产高质量发展路径研究</w:t>
      </w:r>
    </w:p>
    <w:p>
      <w:pPr>
        <w:spacing w:before="259" w:line="360" w:lineRule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133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河南打造种业强省的路径研究</w:t>
      </w:r>
    </w:p>
    <w:p>
      <w:pPr>
        <w:spacing w:before="259" w:line="360" w:lineRule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134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河南食品产业优势升级再造战略实施机制研究</w:t>
      </w:r>
    </w:p>
    <w:p>
      <w:pPr>
        <w:spacing w:before="259" w:line="360" w:lineRule="auto"/>
        <w:rPr>
          <w:rFonts w:hint="eastAsia" w:ascii="仿宋_GB2312" w:hAnsi="仿宋_GB2312" w:eastAsia="仿宋_GB2312" w:cs="仿宋_GB2312"/>
          <w:spacing w:val="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135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  <w:lang w:eastAsia="zh-CN"/>
        </w:rPr>
        <w:t>、“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碳达峰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背景下河南畜牧业高质量发展研究</w:t>
      </w:r>
    </w:p>
    <w:p>
      <w:pPr>
        <w:spacing w:before="259" w:line="360" w:lineRule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136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河南小规模农户从事农业生产现状与问题研究</w:t>
      </w:r>
    </w:p>
    <w:p>
      <w:pPr>
        <w:spacing w:before="259" w:line="360" w:lineRule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137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河南民营企业改革发展研究</w:t>
      </w:r>
    </w:p>
    <w:p>
      <w:pPr>
        <w:spacing w:before="259" w:line="360" w:lineRule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138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双循环背景下河南创新型企业发展策略研究</w:t>
      </w:r>
    </w:p>
    <w:p>
      <w:pPr>
        <w:spacing w:before="259" w:line="360" w:lineRule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139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新冠肺炎疫情冲击下河南中小企业生存与发展研究</w:t>
      </w:r>
    </w:p>
    <w:p>
      <w:pPr>
        <w:spacing w:before="259" w:line="360" w:lineRule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140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河南小微企业重焕活力研究</w:t>
      </w:r>
    </w:p>
    <w:p>
      <w:pPr>
        <w:spacing w:before="259" w:line="360" w:lineRule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141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河南中小企业共性关键技术突破研究</w:t>
      </w:r>
    </w:p>
    <w:p>
      <w:pPr>
        <w:spacing w:before="259" w:line="360" w:lineRule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142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碳中和背景下河南企业社会责任研究</w:t>
      </w:r>
    </w:p>
    <w:p>
      <w:pPr>
        <w:spacing w:before="259" w:line="360" w:lineRule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143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基于共同富裕的河南新型城镇化实现路径研究</w:t>
      </w:r>
    </w:p>
    <w:p>
      <w:pPr>
        <w:spacing w:before="259" w:line="360" w:lineRule="auto"/>
        <w:rPr>
          <w:rFonts w:hint="eastAsia" w:ascii="仿宋_GB2312" w:hAnsi="仿宋_GB2312" w:eastAsia="仿宋_GB2312" w:cs="仿宋_GB2312"/>
          <w:spacing w:val="-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144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新发展格局下中原城市群一体化体制机制创新研究</w:t>
      </w:r>
    </w:p>
    <w:p>
      <w:pPr>
        <w:spacing w:before="259" w:line="360" w:lineRule="auto"/>
        <w:rPr>
          <w:rFonts w:hint="eastAsia" w:ascii="仿宋_GB2312" w:hAnsi="仿宋_GB2312" w:eastAsia="仿宋_GB2312" w:cs="仿宋_GB2312"/>
          <w:spacing w:val="-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145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提高河南城市能级研究</w:t>
      </w:r>
    </w:p>
    <w:p>
      <w:pPr>
        <w:spacing w:before="259" w:line="360" w:lineRule="auto"/>
        <w:rPr>
          <w:rFonts w:hint="eastAsia" w:ascii="仿宋_GB2312" w:hAnsi="仿宋_GB2312" w:eastAsia="仿宋_GB2312" w:cs="仿宋_GB2312"/>
          <w:spacing w:val="-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146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河南国际消费中心城市建设研究</w:t>
      </w:r>
    </w:p>
    <w:p>
      <w:pPr>
        <w:spacing w:before="222" w:line="361" w:lineRule="auto"/>
        <w:ind w:right="820"/>
        <w:rPr>
          <w:rFonts w:hint="eastAsia" w:ascii="仿宋_GB2312" w:hAnsi="仿宋_GB2312" w:eastAsia="仿宋_GB2312" w:cs="仿宋_GB2312"/>
          <w:spacing w:val="-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147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加快郑州国家中心城市建设研究</w:t>
      </w:r>
    </w:p>
    <w:p>
      <w:pPr>
        <w:spacing w:before="222" w:line="361" w:lineRule="auto"/>
        <w:ind w:right="820"/>
        <w:rPr>
          <w:rFonts w:hint="eastAsia" w:ascii="仿宋_GB2312" w:hAnsi="仿宋_GB2312" w:eastAsia="仿宋_GB2312" w:cs="仿宋_GB2312"/>
          <w:spacing w:val="18"/>
          <w:w w:val="9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8"/>
          <w:w w:val="99"/>
          <w:sz w:val="32"/>
          <w:szCs w:val="32"/>
        </w:rPr>
        <w:t>148</w:t>
      </w:r>
      <w:r>
        <w:rPr>
          <w:rFonts w:hint="eastAsia" w:ascii="仿宋_GB2312" w:hAnsi="仿宋_GB2312" w:eastAsia="仿宋_GB2312" w:cs="仿宋_GB2312"/>
          <w:spacing w:val="18"/>
          <w:w w:val="99"/>
          <w:sz w:val="32"/>
          <w:szCs w:val="32"/>
          <w:lang w:eastAsia="zh-CN"/>
        </w:rPr>
        <w:t>、“</w:t>
      </w:r>
      <w:r>
        <w:rPr>
          <w:rFonts w:hint="eastAsia" w:ascii="仿宋_GB2312" w:hAnsi="仿宋_GB2312" w:eastAsia="仿宋_GB2312" w:cs="仿宋_GB2312"/>
          <w:spacing w:val="18"/>
          <w:w w:val="99"/>
          <w:sz w:val="32"/>
          <w:szCs w:val="32"/>
        </w:rPr>
        <w:t>1+8”郑州都市圈研究</w:t>
      </w:r>
    </w:p>
    <w:p>
      <w:pPr>
        <w:spacing w:before="222" w:line="361" w:lineRule="auto"/>
        <w:ind w:right="820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149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以郑洛宛协同发展优化河南发展新格局研究</w:t>
      </w:r>
    </w:p>
    <w:p>
      <w:pPr>
        <w:spacing w:before="222" w:line="361" w:lineRule="auto"/>
        <w:ind w:right="820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150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加快南阳副中心城市建设研究</w:t>
      </w:r>
    </w:p>
    <w:p>
      <w:pPr>
        <w:spacing w:before="222" w:line="361" w:lineRule="auto"/>
        <w:ind w:right="820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151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本质安全理念下河南城市安全风险防控体系建设研究</w:t>
      </w:r>
    </w:p>
    <w:p>
      <w:pPr>
        <w:spacing w:before="222" w:line="361" w:lineRule="auto"/>
        <w:ind w:right="820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152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支持和引导资本规范健康发展研究</w:t>
      </w:r>
    </w:p>
    <w:p>
      <w:pPr>
        <w:spacing w:before="222" w:line="361" w:lineRule="auto"/>
        <w:ind w:right="820"/>
        <w:rPr>
          <w:rFonts w:hint="eastAsia" w:ascii="仿宋_GB2312" w:hAnsi="仿宋_GB2312" w:eastAsia="仿宋_GB2312" w:cs="仿宋_GB2312"/>
          <w:spacing w:val="-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153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河南进一步优化营商环境的重点难点研究</w:t>
      </w:r>
    </w:p>
    <w:p>
      <w:pPr>
        <w:spacing w:before="222" w:line="361" w:lineRule="auto"/>
        <w:ind w:right="820"/>
        <w:rPr>
          <w:rFonts w:hint="eastAsia" w:ascii="仿宋_GB2312" w:hAnsi="仿宋_GB2312" w:eastAsia="仿宋_GB2312" w:cs="仿宋_GB2312"/>
          <w:spacing w:val="-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154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河南发展科技金融研究</w:t>
      </w:r>
    </w:p>
    <w:p>
      <w:pPr>
        <w:spacing w:before="222" w:line="361" w:lineRule="auto"/>
        <w:ind w:right="820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155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乡村振兴战略背景下金融服务模式创新研究</w:t>
      </w:r>
    </w:p>
    <w:p>
      <w:pPr>
        <w:spacing w:before="222" w:line="361" w:lineRule="auto"/>
        <w:ind w:right="820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156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新时代河南智慧旅游发展研究</w:t>
      </w:r>
    </w:p>
    <w:p>
      <w:pPr>
        <w:spacing w:before="222" w:line="361" w:lineRule="auto"/>
        <w:ind w:right="820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157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基于乡村振兴的河南旅游资源开发模式研究</w:t>
      </w:r>
    </w:p>
    <w:p>
      <w:pPr>
        <w:spacing w:before="222" w:line="361" w:lineRule="auto"/>
        <w:ind w:right="820"/>
        <w:rPr>
          <w:rFonts w:hint="eastAsia" w:ascii="仿宋_GB2312" w:hAnsi="仿宋_GB2312" w:eastAsia="仿宋_GB2312" w:cs="仿宋_GB2312"/>
          <w:spacing w:val="-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158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河南黄河文化旅游带高质量建设路径研究</w:t>
      </w:r>
    </w:p>
    <w:p>
      <w:pPr>
        <w:spacing w:before="222" w:line="361" w:lineRule="auto"/>
        <w:ind w:right="820"/>
        <w:rPr>
          <w:rFonts w:hint="eastAsia" w:ascii="仿宋_GB2312" w:hAnsi="仿宋_GB2312" w:eastAsia="仿宋_GB2312" w:cs="仿宋_GB2312"/>
          <w:spacing w:val="-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159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河南中医药创新发展研究</w:t>
      </w:r>
    </w:p>
    <w:p>
      <w:pPr>
        <w:spacing w:before="222" w:line="361" w:lineRule="auto"/>
        <w:ind w:right="820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160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促进河南房地产业良性循环和健康发展研究</w:t>
      </w:r>
    </w:p>
    <w:p>
      <w:pPr>
        <w:spacing w:before="222" w:line="361" w:lineRule="auto"/>
        <w:ind w:right="8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161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lang w:eastAsia="zh-CN"/>
        </w:rPr>
        <w:t>、“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双循环”新格局下河南消费提振策略研究</w:t>
      </w:r>
    </w:p>
    <w:p>
      <w:pPr>
        <w:spacing w:line="248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before="104" w:line="222" w:lineRule="auto"/>
        <w:ind w:firstLine="4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河南文化工程专项研究</w:t>
      </w:r>
    </w:p>
    <w:p>
      <w:pPr>
        <w:spacing w:before="222" w:line="361" w:lineRule="auto"/>
        <w:ind w:right="820"/>
        <w:rPr>
          <w:rFonts w:hint="eastAsia" w:ascii="仿宋_GB2312" w:hAnsi="仿宋_GB2312" w:eastAsia="仿宋_GB2312" w:cs="仿宋_GB2312"/>
          <w:spacing w:val="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162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五千多年中华文明史的演进、分期及特质研究</w:t>
      </w:r>
    </w:p>
    <w:p>
      <w:pPr>
        <w:spacing w:before="222" w:line="361" w:lineRule="auto"/>
        <w:ind w:right="820"/>
        <w:rPr>
          <w:rFonts w:hint="eastAsia" w:ascii="仿宋_GB2312" w:hAnsi="仿宋_GB2312" w:eastAsia="仿宋_GB2312" w:cs="仿宋_GB2312"/>
          <w:spacing w:val="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163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中华文明起源与发展研究</w:t>
      </w:r>
    </w:p>
    <w:p>
      <w:pPr>
        <w:spacing w:before="222" w:line="361" w:lineRule="auto"/>
        <w:ind w:right="820"/>
        <w:rPr>
          <w:rFonts w:hint="eastAsia" w:ascii="仿宋_GB2312" w:hAnsi="仿宋_GB2312" w:eastAsia="仿宋_GB2312" w:cs="仿宋_GB2312"/>
          <w:spacing w:val="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164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中华文明多元一体格局形成过程研究</w:t>
      </w:r>
    </w:p>
    <w:p>
      <w:pPr>
        <w:spacing w:before="222" w:line="361" w:lineRule="auto"/>
        <w:ind w:right="820"/>
        <w:rPr>
          <w:rFonts w:hint="eastAsia" w:ascii="仿宋_GB2312" w:hAnsi="仿宋_GB2312" w:eastAsia="仿宋_GB2312" w:cs="仿宋_GB2312"/>
          <w:spacing w:val="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165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古代国家礼制与中华礼仪文明延续性研究</w:t>
      </w:r>
    </w:p>
    <w:p>
      <w:pPr>
        <w:spacing w:before="222" w:line="361" w:lineRule="auto"/>
        <w:ind w:right="820"/>
        <w:rPr>
          <w:rFonts w:hint="eastAsia" w:ascii="仿宋_GB2312" w:hAnsi="仿宋_GB2312" w:eastAsia="仿宋_GB2312" w:cs="仿宋_GB2312"/>
          <w:spacing w:val="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166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中原史前文化口述史研究</w:t>
      </w:r>
    </w:p>
    <w:p>
      <w:pPr>
        <w:spacing w:before="222" w:line="361" w:lineRule="auto"/>
        <w:ind w:right="820"/>
        <w:rPr>
          <w:rFonts w:hint="eastAsia" w:ascii="仿宋_GB2312" w:hAnsi="仿宋_GB2312" w:eastAsia="仿宋_GB2312" w:cs="仿宋_GB2312"/>
          <w:spacing w:val="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167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中原学的理论基础、基本范畴与学科体系研究(分专题分领域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如中原经济学、中原伦理学)</w:t>
      </w:r>
    </w:p>
    <w:p>
      <w:pPr>
        <w:spacing w:before="222" w:line="361" w:lineRule="auto"/>
        <w:ind w:right="820"/>
        <w:rPr>
          <w:rFonts w:hint="eastAsia" w:ascii="仿宋_GB2312" w:hAnsi="仿宋_GB2312" w:eastAsia="仿宋_GB2312" w:cs="仿宋_GB2312"/>
          <w:spacing w:val="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168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仰韶文化研究</w:t>
      </w:r>
    </w:p>
    <w:p>
      <w:pPr>
        <w:spacing w:before="222" w:line="361" w:lineRule="auto"/>
        <w:ind w:right="820"/>
        <w:rPr>
          <w:rFonts w:hint="eastAsia" w:ascii="仿宋_GB2312" w:hAnsi="仿宋_GB2312" w:eastAsia="仿宋_GB2312" w:cs="仿宋_GB2312"/>
          <w:spacing w:val="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169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夏文化研究</w:t>
      </w:r>
    </w:p>
    <w:p>
      <w:pPr>
        <w:spacing w:before="222" w:line="361" w:lineRule="auto"/>
        <w:ind w:right="820"/>
        <w:rPr>
          <w:rFonts w:hint="eastAsia" w:ascii="仿宋_GB2312" w:hAnsi="仿宋_GB2312" w:eastAsia="仿宋_GB2312" w:cs="仿宋_GB2312"/>
          <w:spacing w:val="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170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殷商文化与中原殷商学研究</w:t>
      </w:r>
    </w:p>
    <w:p>
      <w:pPr>
        <w:spacing w:before="222" w:line="361" w:lineRule="auto"/>
        <w:ind w:right="820"/>
        <w:rPr>
          <w:rFonts w:hint="eastAsia" w:ascii="仿宋_GB2312" w:hAnsi="仿宋_GB2312" w:eastAsia="仿宋_GB2312" w:cs="仿宋_GB2312"/>
          <w:spacing w:val="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171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河洛文化与河洛学研究</w:t>
      </w:r>
    </w:p>
    <w:p>
      <w:pPr>
        <w:spacing w:before="222" w:line="361" w:lineRule="auto"/>
        <w:ind w:right="820"/>
        <w:rPr>
          <w:rFonts w:hint="eastAsia" w:ascii="仿宋_GB2312" w:hAnsi="仿宋_GB2312" w:eastAsia="仿宋_GB2312" w:cs="仿宋_GB2312"/>
          <w:spacing w:val="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172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春秋文化研究</w:t>
      </w:r>
    </w:p>
    <w:p>
      <w:pPr>
        <w:spacing w:before="222" w:line="361" w:lineRule="auto"/>
        <w:ind w:right="820"/>
        <w:rPr>
          <w:rFonts w:hint="eastAsia" w:ascii="仿宋_GB2312" w:hAnsi="仿宋_GB2312" w:eastAsia="仿宋_GB2312" w:cs="仿宋_GB2312"/>
          <w:spacing w:val="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173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汉文化研究</w:t>
      </w:r>
    </w:p>
    <w:p>
      <w:pPr>
        <w:spacing w:before="222" w:line="361" w:lineRule="auto"/>
        <w:ind w:right="820"/>
        <w:rPr>
          <w:rFonts w:hint="eastAsia" w:ascii="仿宋_GB2312" w:hAnsi="仿宋_GB2312" w:eastAsia="仿宋_GB2312" w:cs="仿宋_GB2312"/>
          <w:spacing w:val="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174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炎黄学研究</w:t>
      </w:r>
    </w:p>
    <w:p>
      <w:pPr>
        <w:spacing w:before="222" w:line="361" w:lineRule="auto"/>
        <w:ind w:right="820"/>
        <w:rPr>
          <w:rFonts w:hint="eastAsia" w:ascii="仿宋_GB2312" w:hAnsi="仿宋_GB2312" w:eastAsia="仿宋_GB2312" w:cs="仿宋_GB2312"/>
          <w:spacing w:val="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175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新宋学研究</w:t>
      </w:r>
    </w:p>
    <w:p>
      <w:pPr>
        <w:spacing w:before="222" w:line="361" w:lineRule="auto"/>
        <w:ind w:right="820"/>
        <w:rPr>
          <w:rFonts w:hint="eastAsia" w:ascii="仿宋_GB2312" w:hAnsi="仿宋_GB2312" w:eastAsia="仿宋_GB2312" w:cs="仿宋_GB2312"/>
          <w:spacing w:val="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176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冯友兰新理学研究</w:t>
      </w:r>
    </w:p>
    <w:p>
      <w:pPr>
        <w:spacing w:before="222" w:line="361" w:lineRule="auto"/>
        <w:ind w:right="820"/>
        <w:rPr>
          <w:rFonts w:hint="eastAsia" w:ascii="仿宋_GB2312" w:hAnsi="仿宋_GB2312" w:eastAsia="仿宋_GB2312" w:cs="仿宋_GB2312"/>
          <w:spacing w:val="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177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新时代黄河学研究</w:t>
      </w:r>
    </w:p>
    <w:p>
      <w:pPr>
        <w:spacing w:before="222" w:line="361" w:lineRule="auto"/>
        <w:ind w:right="820"/>
        <w:rPr>
          <w:rFonts w:hint="eastAsia" w:ascii="仿宋_GB2312" w:hAnsi="仿宋_GB2312" w:eastAsia="仿宋_GB2312" w:cs="仿宋_GB2312"/>
          <w:spacing w:val="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178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塑造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行走河南、读懂中国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文化品牌研究</w:t>
      </w:r>
    </w:p>
    <w:p>
      <w:pPr>
        <w:spacing w:before="222" w:line="361" w:lineRule="auto"/>
        <w:ind w:right="820"/>
        <w:rPr>
          <w:rFonts w:hint="eastAsia" w:ascii="仿宋_GB2312" w:hAnsi="仿宋_GB2312" w:eastAsia="仿宋_GB2312" w:cs="仿宋_GB2312"/>
          <w:spacing w:val="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179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黄河文化、中原文化基因解码与应用推广研究</w:t>
      </w:r>
    </w:p>
    <w:p>
      <w:pPr>
        <w:spacing w:before="222" w:line="361" w:lineRule="auto"/>
        <w:ind w:right="820"/>
        <w:rPr>
          <w:rFonts w:hint="eastAsia" w:ascii="仿宋_GB2312" w:hAnsi="仿宋_GB2312" w:eastAsia="仿宋_GB2312" w:cs="仿宋_GB2312"/>
          <w:spacing w:val="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180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河南打造中华美学策源地路径研究</w:t>
      </w:r>
    </w:p>
    <w:p>
      <w:pPr>
        <w:spacing w:before="222" w:line="361" w:lineRule="auto"/>
        <w:ind w:right="820"/>
        <w:rPr>
          <w:rFonts w:hint="eastAsia" w:ascii="仿宋_GB2312" w:hAnsi="仿宋_GB2312" w:eastAsia="仿宋_GB2312" w:cs="仿宋_GB2312"/>
          <w:spacing w:val="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181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黄河文化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根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与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魂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的河南体现研究</w:t>
      </w:r>
    </w:p>
    <w:p>
      <w:pPr>
        <w:spacing w:before="222" w:line="361" w:lineRule="auto"/>
        <w:ind w:right="820"/>
        <w:rPr>
          <w:rFonts w:hint="eastAsia" w:ascii="仿宋_GB2312" w:hAnsi="仿宋_GB2312" w:eastAsia="仿宋_GB2312" w:cs="仿宋_GB2312"/>
          <w:spacing w:val="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182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构建黄河文化遗产系统保护工程研究</w:t>
      </w:r>
    </w:p>
    <w:p>
      <w:pPr>
        <w:spacing w:before="222" w:line="361" w:lineRule="auto"/>
        <w:ind w:right="820"/>
        <w:rPr>
          <w:rFonts w:hint="eastAsia" w:ascii="仿宋_GB2312" w:hAnsi="仿宋_GB2312" w:eastAsia="仿宋_GB2312" w:cs="仿宋_GB2312"/>
          <w:spacing w:val="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183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新时代河南文化强省建设路径与对策研究</w:t>
      </w:r>
    </w:p>
    <w:p>
      <w:pPr>
        <w:spacing w:before="222" w:line="361" w:lineRule="auto"/>
        <w:ind w:right="820"/>
        <w:rPr>
          <w:rFonts w:hint="eastAsia" w:ascii="仿宋_GB2312" w:hAnsi="仿宋_GB2312" w:eastAsia="仿宋_GB2312" w:cs="仿宋_GB2312"/>
          <w:spacing w:val="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184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河南国际旅游目的地形象定位、设计与塑造研究</w:t>
      </w:r>
    </w:p>
    <w:p>
      <w:pPr>
        <w:spacing w:before="222" w:line="361" w:lineRule="auto"/>
        <w:ind w:right="820"/>
        <w:rPr>
          <w:rFonts w:hint="eastAsia" w:ascii="仿宋_GB2312" w:hAnsi="仿宋_GB2312" w:eastAsia="仿宋_GB2312" w:cs="仿宋_GB2312"/>
          <w:spacing w:val="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185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河南非物质文化遗产传承创新与对外传播研究</w:t>
      </w:r>
    </w:p>
    <w:p>
      <w:pPr>
        <w:spacing w:before="222" w:line="361" w:lineRule="auto"/>
        <w:ind w:right="820"/>
        <w:rPr>
          <w:rFonts w:hint="eastAsia" w:ascii="仿宋_GB2312" w:hAnsi="仿宋_GB2312" w:eastAsia="仿宋_GB2312" w:cs="仿宋_GB2312"/>
          <w:spacing w:val="3"/>
          <w:sz w:val="32"/>
          <w:szCs w:val="32"/>
        </w:rPr>
      </w:pPr>
    </w:p>
    <w:sectPr>
      <w:footerReference r:id="rId7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方正仿宋_GB2312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38" w:lineRule="exact"/>
      <w:ind w:firstLine="4405"/>
      <w:rPr>
        <w:rFonts w:ascii="幼圆" w:hAnsi="幼圆" w:eastAsia="幼圆" w:cs="幼圆"/>
        <w:sz w:val="20"/>
        <w:szCs w:val="20"/>
      </w:rPr>
    </w:pPr>
    <w:r>
      <w:rPr>
        <w:rFonts w:ascii="幼圆" w:hAnsi="幼圆" w:eastAsia="幼圆" w:cs="幼圆"/>
        <w:position w:val="-3"/>
        <w:sz w:val="20"/>
        <w:szCs w:val="20"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08" w:lineRule="exact"/>
      <w:ind w:firstLine="4410"/>
      <w:rPr>
        <w:rFonts w:ascii="仿宋" w:hAnsi="仿宋" w:eastAsia="仿宋" w:cs="仿宋"/>
        <w:sz w:val="16"/>
        <w:szCs w:val="16"/>
      </w:rPr>
    </w:pPr>
    <w:r>
      <w:rPr>
        <w:rFonts w:ascii="仿宋" w:hAnsi="仿宋" w:eastAsia="仿宋" w:cs="仿宋"/>
        <w:position w:val="-2"/>
        <w:sz w:val="16"/>
        <w:szCs w:val="16"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2" w:lineRule="exact"/>
      <w:ind w:firstLine="4370"/>
      <w:rPr>
        <w:rFonts w:ascii="仿宋" w:hAnsi="仿宋" w:eastAsia="仿宋" w:cs="仿宋"/>
        <w:sz w:val="18"/>
        <w:szCs w:val="18"/>
      </w:rPr>
    </w:pPr>
    <w:r>
      <w:rPr>
        <w:rFonts w:ascii="仿宋" w:hAnsi="仿宋" w:eastAsia="仿宋" w:cs="仿宋"/>
        <w:spacing w:val="-5"/>
        <w:position w:val="-2"/>
        <w:sz w:val="18"/>
        <w:szCs w:val="18"/>
      </w:rPr>
      <w:t>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CC2FC1"/>
    <w:rsid w:val="70CC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2022-03-04T06:31:00Z</dcterms:created>
  <dc:creator>教务处</dc:creator>
  <cp:lastModifiedBy>教务处</cp:lastModifiedBy>
  <dcterms:modified xsi:type="dcterms:W3CDTF">2022-03-04T07:00:55Z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DDA5C741A04245FFB2F42369742E94C1</vt:lpwstr>
  </property>
</Properties>
</file>