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69" w:line="970" w:lineRule="exact"/>
        <w:ind w:firstLine="2822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8"/>
          <w:position w:val="33"/>
          <w:sz w:val="52"/>
          <w:szCs w:val="52"/>
          <w14:textOutline w14:w="9448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河南省社科联</w:t>
      </w:r>
    </w:p>
    <w:p>
      <w:pPr>
        <w:spacing w:line="219" w:lineRule="auto"/>
        <w:ind w:firstLine="1722"/>
        <w:rPr>
          <w:rFonts w:ascii="宋体" w:hAnsi="宋体" w:eastAsia="宋体" w:cs="宋体"/>
          <w:sz w:val="52"/>
          <w:szCs w:val="52"/>
        </w:rPr>
      </w:pPr>
      <w:bookmarkStart w:id="0" w:name="_GoBack"/>
      <w:r>
        <w:rPr>
          <w:rFonts w:ascii="宋体" w:hAnsi="宋体" w:eastAsia="宋体" w:cs="宋体"/>
          <w:spacing w:val="4"/>
          <w:sz w:val="52"/>
          <w:szCs w:val="52"/>
          <w14:textOutline w14:w="944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2022年度调研课题指南</w:t>
      </w:r>
    </w:p>
    <w:bookmarkEnd w:id="0"/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11" w:line="222" w:lineRule="auto"/>
        <w:ind w:firstLine="266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河南省社会科学界联合会</w:t>
      </w:r>
    </w:p>
    <w:p>
      <w:pPr>
        <w:spacing w:before="241" w:line="222" w:lineRule="auto"/>
        <w:ind w:firstLine="35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8"/>
          <w:w w:val="10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2022年2月</w:t>
      </w:r>
    </w:p>
    <w:p>
      <w:pPr>
        <w:sectPr>
          <w:footerReference r:id="rId5" w:type="default"/>
          <w:pgSz w:w="11900" w:h="16830"/>
          <w:pgMar w:top="1430" w:right="1785" w:bottom="1205" w:left="1334" w:header="0" w:footer="1066" w:gutter="0"/>
          <w:cols w:space="720" w:num="1"/>
        </w:sectPr>
      </w:pPr>
    </w:p>
    <w:p>
      <w:pPr>
        <w:spacing w:line="367" w:lineRule="auto"/>
        <w:rPr>
          <w:rFonts w:ascii="Arial"/>
          <w:sz w:val="21"/>
        </w:rPr>
      </w:pPr>
    </w:p>
    <w:p>
      <w:pPr>
        <w:spacing w:before="124" w:line="221" w:lineRule="auto"/>
        <w:ind w:firstLine="3845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spacing w:val="-11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说明</w:t>
      </w:r>
    </w:p>
    <w:p>
      <w:pPr>
        <w:spacing w:line="465" w:lineRule="auto"/>
        <w:rPr>
          <w:rFonts w:ascii="Arial"/>
          <w:sz w:val="21"/>
        </w:rPr>
      </w:pPr>
    </w:p>
    <w:p>
      <w:pPr>
        <w:spacing w:before="5" w:line="343" w:lineRule="auto"/>
        <w:ind w:right="18" w:firstLine="520"/>
        <w:rPr>
          <w:rFonts w:hint="eastAsia" w:ascii="仿宋" w:hAnsi="仿宋" w:eastAsia="仿宋" w:cs="仿宋"/>
          <w:spacing w:val="-13"/>
          <w:sz w:val="26"/>
          <w:szCs w:val="26"/>
          <w:lang w:eastAsia="zh-CN"/>
        </w:rPr>
      </w:pPr>
      <w:r>
        <w:rPr>
          <w:rFonts w:ascii="仿宋" w:hAnsi="仿宋" w:eastAsia="仿宋" w:cs="仿宋"/>
          <w:spacing w:val="-19"/>
          <w:sz w:val="26"/>
          <w:szCs w:val="26"/>
        </w:rPr>
        <w:t>申报课题获准立项后</w:t>
      </w:r>
      <w:r>
        <w:rPr>
          <w:rFonts w:hint="eastAsia" w:ascii="仿宋" w:hAnsi="仿宋" w:eastAsia="仿宋" w:cs="仿宋"/>
          <w:spacing w:val="-19"/>
          <w:sz w:val="26"/>
          <w:szCs w:val="26"/>
          <w:lang w:eastAsia="zh-CN"/>
        </w:rPr>
        <w:t>，</w:t>
      </w:r>
      <w:r>
        <w:rPr>
          <w:rFonts w:ascii="仿宋" w:hAnsi="仿宋" w:eastAsia="仿宋" w:cs="仿宋"/>
          <w:spacing w:val="-19"/>
          <w:sz w:val="26"/>
          <w:szCs w:val="26"/>
          <w:highlight w:val="yellow"/>
        </w:rPr>
        <w:t>课题主持人、参与人不得更换</w:t>
      </w:r>
      <w:r>
        <w:rPr>
          <w:rFonts w:hint="eastAsia" w:ascii="仿宋" w:hAnsi="仿宋" w:eastAsia="仿宋" w:cs="仿宋"/>
          <w:spacing w:val="-19"/>
          <w:sz w:val="26"/>
          <w:szCs w:val="26"/>
          <w:lang w:eastAsia="zh-CN"/>
        </w:rPr>
        <w:t>。</w:t>
      </w:r>
      <w:r>
        <w:rPr>
          <w:rFonts w:ascii="仿宋" w:hAnsi="仿宋" w:eastAsia="仿宋" w:cs="仿宋"/>
          <w:spacing w:val="-19"/>
          <w:sz w:val="26"/>
          <w:szCs w:val="26"/>
        </w:rPr>
        <w:t>主持人应</w:t>
      </w:r>
      <w:r>
        <w:rPr>
          <w:rFonts w:ascii="仿宋" w:hAnsi="仿宋" w:eastAsia="仿宋" w:cs="仿宋"/>
          <w:spacing w:val="-11"/>
          <w:sz w:val="26"/>
          <w:szCs w:val="26"/>
        </w:rPr>
        <w:t>按照《立项通知书》要求</w:t>
      </w:r>
      <w:r>
        <w:rPr>
          <w:rFonts w:hint="eastAsia" w:ascii="仿宋" w:hAnsi="仿宋" w:eastAsia="仿宋" w:cs="仿宋"/>
          <w:spacing w:val="-11"/>
          <w:sz w:val="26"/>
          <w:szCs w:val="26"/>
          <w:lang w:eastAsia="zh-CN"/>
        </w:rPr>
        <w:t>，</w:t>
      </w:r>
      <w:r>
        <w:rPr>
          <w:rFonts w:ascii="仿宋" w:hAnsi="仿宋" w:eastAsia="仿宋" w:cs="仿宋"/>
          <w:spacing w:val="-11"/>
          <w:sz w:val="26"/>
          <w:szCs w:val="26"/>
        </w:rPr>
        <w:t>在规定时间内完成课题调研与报告撰写任务</w:t>
      </w:r>
      <w:r>
        <w:rPr>
          <w:rFonts w:hint="eastAsia" w:ascii="仿宋" w:hAnsi="仿宋" w:eastAsia="仿宋" w:cs="仿宋"/>
          <w:spacing w:val="-11"/>
          <w:sz w:val="26"/>
          <w:szCs w:val="26"/>
          <w:lang w:eastAsia="zh-CN"/>
        </w:rPr>
        <w:t>，</w:t>
      </w:r>
      <w:r>
        <w:rPr>
          <w:rFonts w:ascii="仿宋" w:hAnsi="仿宋" w:eastAsia="仿宋" w:cs="仿宋"/>
          <w:spacing w:val="-11"/>
          <w:sz w:val="26"/>
          <w:szCs w:val="26"/>
        </w:rPr>
        <w:t>于2023年</w:t>
      </w:r>
      <w:r>
        <w:rPr>
          <w:rFonts w:ascii="仿宋" w:hAnsi="仿宋" w:eastAsia="仿宋" w:cs="仿宋"/>
          <w:spacing w:val="-13"/>
          <w:sz w:val="26"/>
          <w:szCs w:val="26"/>
        </w:rPr>
        <w:t>4月</w:t>
      </w:r>
      <w:r>
        <w:rPr>
          <w:rFonts w:hint="eastAsia" w:ascii="仿宋" w:hAnsi="仿宋" w:eastAsia="仿宋" w:cs="仿宋"/>
          <w:spacing w:val="-13"/>
          <w:sz w:val="26"/>
          <w:szCs w:val="26"/>
          <w:lang w:eastAsia="zh-CN"/>
        </w:rPr>
        <w:t>，</w:t>
      </w:r>
      <w:r>
        <w:rPr>
          <w:rFonts w:ascii="仿宋" w:hAnsi="仿宋" w:eastAsia="仿宋" w:cs="仿宋"/>
          <w:spacing w:val="-13"/>
          <w:sz w:val="26"/>
          <w:szCs w:val="26"/>
        </w:rPr>
        <w:t>按照要求将课题报告电子文档提交至省社科联调研课题管理系统</w:t>
      </w:r>
      <w:r>
        <w:rPr>
          <w:rFonts w:hint="eastAsia" w:ascii="仿宋" w:hAnsi="仿宋" w:eastAsia="仿宋" w:cs="仿宋"/>
          <w:spacing w:val="-13"/>
          <w:sz w:val="26"/>
          <w:szCs w:val="26"/>
          <w:lang w:eastAsia="zh-CN"/>
        </w:rPr>
        <w:t>。</w:t>
      </w:r>
    </w:p>
    <w:p>
      <w:pPr>
        <w:spacing w:before="5" w:line="343" w:lineRule="auto"/>
        <w:ind w:right="18" w:firstLine="520"/>
        <w:rPr>
          <w:rFonts w:hint="eastAsia" w:ascii="仿宋" w:hAnsi="仿宋" w:eastAsia="仿宋" w:cs="仿宋"/>
          <w:spacing w:val="-13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pacing w:val="-13"/>
          <w:sz w:val="26"/>
          <w:szCs w:val="26"/>
          <w:lang w:eastAsia="zh-CN"/>
        </w:rPr>
        <w:fldChar w:fldCharType="begin"/>
      </w:r>
      <w:r>
        <w:rPr>
          <w:rFonts w:hint="eastAsia" w:ascii="仿宋" w:hAnsi="仿宋" w:eastAsia="仿宋" w:cs="仿宋"/>
          <w:spacing w:val="-13"/>
          <w:sz w:val="26"/>
          <w:szCs w:val="26"/>
          <w:lang w:eastAsia="zh-CN"/>
        </w:rPr>
        <w:instrText xml:space="preserve"> HYPERLINK "mailto:申报系统流程及技术问题咨询电话0371-60303090，电子邮箱hnzhgn@qq.com" </w:instrText>
      </w:r>
      <w:r>
        <w:rPr>
          <w:rFonts w:hint="eastAsia" w:ascii="仿宋" w:hAnsi="仿宋" w:eastAsia="仿宋" w:cs="仿宋"/>
          <w:spacing w:val="-13"/>
          <w:sz w:val="26"/>
          <w:szCs w:val="26"/>
          <w:lang w:eastAsia="zh-CN"/>
        </w:rPr>
        <w:fldChar w:fldCharType="separate"/>
      </w:r>
      <w:r>
        <w:rPr>
          <w:rFonts w:hint="eastAsia" w:ascii="仿宋" w:hAnsi="仿宋" w:eastAsia="仿宋" w:cs="仿宋"/>
          <w:spacing w:val="-13"/>
          <w:sz w:val="26"/>
          <w:szCs w:val="26"/>
          <w:lang w:eastAsia="zh-CN"/>
        </w:rPr>
        <w:t>申报系统流程及技术问题咨询电话</w:t>
      </w:r>
      <w:r>
        <w:rPr>
          <w:rFonts w:hint="eastAsia" w:ascii="仿宋" w:hAnsi="仿宋" w:eastAsia="仿宋" w:cs="仿宋"/>
          <w:spacing w:val="-13"/>
          <w:sz w:val="26"/>
          <w:szCs w:val="26"/>
          <w:lang w:val="en-US" w:eastAsia="zh-CN"/>
        </w:rPr>
        <w:t>0371-60303090，电子邮箱hnzhgn@qq.com</w:t>
      </w:r>
      <w:r>
        <w:rPr>
          <w:rFonts w:hint="eastAsia" w:ascii="仿宋" w:hAnsi="仿宋" w:eastAsia="仿宋" w:cs="仿宋"/>
          <w:spacing w:val="-13"/>
          <w:sz w:val="26"/>
          <w:szCs w:val="26"/>
          <w:lang w:eastAsia="zh-CN"/>
        </w:rPr>
        <w:fldChar w:fldCharType="end"/>
      </w:r>
    </w:p>
    <w:p>
      <w:pPr>
        <w:sectPr>
          <w:footerReference r:id="rId6" w:type="default"/>
          <w:pgSz w:w="11900" w:h="16830"/>
          <w:pgMar w:top="1430" w:right="1645" w:bottom="1187" w:left="1460" w:header="0" w:footer="1079" w:gutter="0"/>
          <w:cols w:space="720" w:num="1"/>
        </w:sectPr>
      </w:pPr>
    </w:p>
    <w:p>
      <w:pPr>
        <w:spacing w:before="124" w:line="221" w:lineRule="auto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ascii="黑体" w:hAnsi="黑体" w:eastAsia="黑体" w:cs="黑体"/>
          <w:b/>
          <w:bCs/>
          <w:sz w:val="52"/>
          <w:szCs w:val="52"/>
        </w:rPr>
        <w:t>河南省社科联2022年度调研课题指南</w:t>
      </w:r>
    </w:p>
    <w:p>
      <w:pPr>
        <w:spacing w:before="124" w:line="221" w:lineRule="auto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ascii="黑体" w:hAnsi="黑体" w:eastAsia="黑体" w:cs="黑体"/>
          <w:b/>
          <w:bCs/>
          <w:sz w:val="52"/>
          <w:szCs w:val="52"/>
        </w:rPr>
        <w:t>参考选题(185项)</w:t>
      </w:r>
    </w:p>
    <w:p>
      <w:pPr>
        <w:spacing w:line="455" w:lineRule="auto"/>
        <w:rPr>
          <w:rFonts w:ascii="Arial"/>
          <w:sz w:val="21"/>
        </w:rPr>
      </w:pPr>
    </w:p>
    <w:p>
      <w:pPr>
        <w:spacing w:before="104" w:line="222" w:lineRule="auto"/>
        <w:ind w:firstLin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马列·科社</w:t>
      </w:r>
    </w:p>
    <w:p>
      <w:pPr>
        <w:spacing w:before="231" w:line="359" w:lineRule="auto"/>
        <w:ind w:right="29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习近平经济思想研究</w:t>
      </w:r>
    </w:p>
    <w:p>
      <w:pPr>
        <w:spacing w:before="231" w:line="359" w:lineRule="auto"/>
        <w:ind w:right="29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习近平法治思想研究</w:t>
      </w:r>
    </w:p>
    <w:p>
      <w:pPr>
        <w:spacing w:before="231" w:line="359" w:lineRule="auto"/>
        <w:ind w:right="29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习近平生态文明思想研究</w:t>
      </w:r>
    </w:p>
    <w:p>
      <w:pPr>
        <w:spacing w:before="231" w:line="359" w:lineRule="auto"/>
        <w:ind w:right="2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习近平新时代中国特色社会主义思想是中华文化和中国精神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的时代精华研究</w:t>
      </w:r>
    </w:p>
    <w:p>
      <w:pPr>
        <w:spacing w:before="231" w:line="359" w:lineRule="auto"/>
        <w:ind w:right="29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习近平新时代中国特色社会主义思想在河南的生动实践研究</w:t>
      </w:r>
    </w:p>
    <w:p>
      <w:pPr>
        <w:spacing w:before="231" w:line="359" w:lineRule="auto"/>
        <w:ind w:right="29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马克思主义中国化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两个结合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的内涵及规律研究</w:t>
      </w:r>
    </w:p>
    <w:p>
      <w:pPr>
        <w:spacing w:before="231" w:line="359" w:lineRule="auto"/>
        <w:ind w:right="29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中国式现代化道路研究</w:t>
      </w:r>
    </w:p>
    <w:p>
      <w:pPr>
        <w:spacing w:before="231" w:line="359" w:lineRule="auto"/>
        <w:ind w:right="29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人类文明新形态研究</w:t>
      </w:r>
    </w:p>
    <w:p>
      <w:pPr>
        <w:spacing w:before="231" w:line="359" w:lineRule="auto"/>
        <w:ind w:right="29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社会主义意识形态理论话语创新研究</w:t>
      </w:r>
    </w:p>
    <w:p>
      <w:pPr>
        <w:spacing w:before="231" w:line="359" w:lineRule="auto"/>
        <w:ind w:right="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构建主流意识形态认同机制研究</w:t>
      </w:r>
    </w:p>
    <w:p>
      <w:pPr>
        <w:spacing w:before="105" w:line="223" w:lineRule="auto"/>
        <w:ind w:firstLin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党史·党建</w:t>
      </w:r>
    </w:p>
    <w:p>
      <w:pPr>
        <w:spacing w:before="235" w:line="367" w:lineRule="auto"/>
        <w:ind w:right="6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中国共产党三个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历史决议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的比较研究</w:t>
      </w:r>
    </w:p>
    <w:p>
      <w:pPr>
        <w:spacing w:before="235" w:line="367" w:lineRule="auto"/>
        <w:ind w:right="60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两个确立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对新时代党和国家事业发展的决定性意义研究</w:t>
      </w:r>
    </w:p>
    <w:p>
      <w:pPr>
        <w:spacing w:before="235" w:line="367" w:lineRule="auto"/>
        <w:ind w:right="6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伟大建党精神形成的理论渊源、实践基础、文化底蕴研究</w:t>
      </w:r>
    </w:p>
    <w:p>
      <w:pPr>
        <w:spacing w:before="235" w:line="367" w:lineRule="auto"/>
        <w:ind w:right="6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新时代中国共产党执政形象研究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百年河南革命传统和精神谱系研究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红色资源融入党史学习教育的路径研究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新业态党组织建设的现实困境与优化路径研究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社区党建引领机制建设研究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有效推进社会组织党建的路径研究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重大项目建设中党建与实际工作融合研究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信息化时代加强高校意识形态工作的策略研究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激励干部担当作为干事创业对策研究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中青年干部增强斗争本领和党性修养研究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农村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一肩挑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干部队伍职业化管理路径研究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乡村振兴背景下河南农村基层带头人队伍建设路径研究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清廉河南”建设的目标取向与实现路径研究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蹲苗育苗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计划实施效果与完善路径研究</w:t>
      </w:r>
    </w:p>
    <w:p>
      <w:pPr>
        <w:spacing w:before="104" w:line="223" w:lineRule="auto"/>
        <w:ind w:firstLin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哲学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习近平新时代中国特色社会主义思想的哲学研究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共同富裕的哲学研究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社会发展与美好生活的哲学研究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人工智能伦理研究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生态文明的道德哲学研究</w:t>
      </w:r>
    </w:p>
    <w:p>
      <w:pPr>
        <w:spacing w:before="213" w:line="364" w:lineRule="auto"/>
        <w:ind w:right="550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中华传统美德的传承、弘扬和现代转化研究</w:t>
      </w:r>
    </w:p>
    <w:p>
      <w:pPr>
        <w:spacing w:before="260" w:line="221" w:lineRule="auto"/>
        <w:ind w:firstLine="4"/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60" w:line="221" w:lineRule="auto"/>
        <w:ind w:firstLin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政治学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34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习近平总书记关于发展全过程人民民主的重要论述研究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中国共产党领导人民创造的政治文明新形态研究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新时代加强党的政治领导力、思想引领力、群众组织力、社会号召力的途径和机制研究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健全社会主义市场经济条件下新型举国体制研究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38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推进共同富裕的政府机制和公共政策研究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39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中国特色社会主义政治制度的传统文化基因研究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国家治理体系和治理能力现代化与中华优秀传统政治文化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的关系研究</w:t>
      </w:r>
    </w:p>
    <w:p>
      <w:pPr>
        <w:spacing w:before="104" w:line="223" w:lineRule="auto"/>
        <w:ind w:firstLin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法学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41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推动党内法规制度建设高质量发展研究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42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法治政府建设标准和措施研究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43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社会主义核心价值观与民法典的价值体系研究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44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民法典实施中的重大疑难问题研究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共同富裕背景下数据收益分配法律机制研究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46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第三次分配的法律保障机制研究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47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防范金融风险与金融监管法体系化研究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48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个人信息侵权损害赔偿责任研究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49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养老服务体系建设的法治化保障研究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网络直播营销的行政法规制研究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51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人工智能发展中的重大安全风险防范体系研究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52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算法自动化决策中多元风险的法律治理研究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53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数字弱势群体”的权益保护机制研究</w:t>
      </w:r>
    </w:p>
    <w:p>
      <w:pPr>
        <w:spacing w:before="229" w:line="363" w:lineRule="auto"/>
        <w:ind w:right="51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54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EPC工程总承包业务中若干法律问题研究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04" w:line="221" w:lineRule="auto"/>
        <w:ind w:firstLin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社会学</w:t>
      </w:r>
    </w:p>
    <w:p>
      <w:pPr>
        <w:spacing w:before="232" w:line="359" w:lineRule="auto"/>
        <w:ind w:right="61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55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绿色低碳社会生活方式研究</w:t>
      </w:r>
    </w:p>
    <w:p>
      <w:pPr>
        <w:spacing w:before="232" w:line="359" w:lineRule="auto"/>
        <w:ind w:right="61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56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技术创新与社会生活方式转型研究</w:t>
      </w:r>
    </w:p>
    <w:p>
      <w:pPr>
        <w:spacing w:before="232" w:line="359" w:lineRule="auto"/>
        <w:ind w:right="61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57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新型公共文化空间的发展策略研究</w:t>
      </w:r>
    </w:p>
    <w:p>
      <w:pPr>
        <w:spacing w:before="232" w:line="359" w:lineRule="auto"/>
        <w:ind w:right="61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58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社区文化功能建设发展研究</w:t>
      </w:r>
    </w:p>
    <w:p>
      <w:pPr>
        <w:spacing w:before="232" w:line="359" w:lineRule="auto"/>
        <w:ind w:right="61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59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经济社会转型条件下新职业群体研究</w:t>
      </w:r>
    </w:p>
    <w:p>
      <w:pPr>
        <w:spacing w:before="232" w:line="359" w:lineRule="auto"/>
        <w:ind w:right="61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新业态经济与劳动者社会结构变迁研究</w:t>
      </w:r>
    </w:p>
    <w:p>
      <w:pPr>
        <w:spacing w:before="232" w:line="359" w:lineRule="auto"/>
        <w:ind w:right="61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61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灵活就业工作对家庭生活方式的影响研究</w:t>
      </w:r>
    </w:p>
    <w:p>
      <w:pPr>
        <w:spacing w:before="232" w:line="359" w:lineRule="auto"/>
        <w:ind w:right="61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62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双减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的家庭反应与影响研究</w:t>
      </w:r>
    </w:p>
    <w:p>
      <w:pPr>
        <w:spacing w:before="232" w:line="359" w:lineRule="auto"/>
        <w:ind w:right="61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63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河南留守人口变化趋势研究</w:t>
      </w:r>
    </w:p>
    <w:p>
      <w:pPr>
        <w:spacing w:before="232" w:line="359" w:lineRule="auto"/>
        <w:ind w:right="61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64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河南社会心理服务体系建设与社会治理研究</w:t>
      </w:r>
    </w:p>
    <w:p>
      <w:pPr>
        <w:spacing w:before="232" w:line="359" w:lineRule="auto"/>
        <w:ind w:right="61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积极应对人口老龄化背景下河南健全养老服务体系研究</w:t>
      </w:r>
    </w:p>
    <w:p>
      <w:pPr>
        <w:spacing w:before="232" w:line="359" w:lineRule="auto"/>
        <w:ind w:right="61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66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河南养老服务人才队伍现状、存在问题及发展对策研究</w:t>
      </w:r>
    </w:p>
    <w:p>
      <w:pPr>
        <w:spacing w:before="105" w:line="221" w:lineRule="auto"/>
        <w:ind w:firstLine="4"/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5" w:line="221" w:lineRule="auto"/>
        <w:ind w:firstLin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教育学</w:t>
      </w:r>
    </w:p>
    <w:p>
      <w:pPr>
        <w:spacing w:before="224" w:line="377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67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新时代思想政治教育创新发展研究</w:t>
      </w:r>
    </w:p>
    <w:p>
      <w:pPr>
        <w:spacing w:before="224" w:line="377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68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新时代思政课教育教学规律、学生认知规律和接受特点研究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69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新时代高校思政课教学质量评价体系研究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大中小学思政课一体化建设研究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71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思政课教学中社会思潮辨析引导研究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72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互联网+教育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促进城乡教育均等化的机制研究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73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促进河南义务教育优质均衡发展研究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74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协同创新视角下河南省高校科技创新能力提升研究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75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河南高校新文科建设发展研究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76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十四五”时期体育改革重大问题研究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77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新发展阶段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体教融合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体卫融合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体医融合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体旅融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理论与实践研究(分专题分领域)</w:t>
      </w:r>
    </w:p>
    <w:p>
      <w:pPr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04" w:line="221" w:lineRule="auto"/>
        <w:ind w:firstLin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文学·语言学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78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新时期以来中国重要文艺思潮发生机制研究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79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中国传统文化对中国当代文学的影响研究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80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中国当代网络文学的理论化研究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81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当代网络文学的IP化(影视改编)研究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82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网络语言的规范化研究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83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网络流行语与社会心理研究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84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城市新社会阶层的语言使用和身份认同研究</w:t>
      </w:r>
    </w:p>
    <w:p>
      <w:pPr>
        <w:spacing w:line="25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04" w:line="221" w:lineRule="auto"/>
        <w:ind w:firstLin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新闻传播学·图书馆情报学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85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加强网络文明建设研究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86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新时代红色文化价值传播研究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87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非公资本进入新媒体领域的影响及对策研究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88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互联网平台社会责任治理研究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89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智能算法与传播秩序研究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90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重大突发事件中网络谣言的治理研究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91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大数据疫情防控时代的隐私焦虑与媒体报道边界研究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92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十四五”时期公共图书馆高质量发展研究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93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智慧图书馆建设研究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94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网络环境下图书馆空间重塑与创新研究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95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数智时代图书馆数据治理研究</w:t>
      </w:r>
    </w:p>
    <w:p>
      <w:pPr>
        <w:spacing w:before="239" w:line="362" w:lineRule="auto"/>
        <w:ind w:right="63"/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96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w w:val="102"/>
          <w:sz w:val="32"/>
          <w:szCs w:val="32"/>
        </w:rPr>
        <w:t>数智驱动的图书馆服务模式创新研究</w:t>
      </w:r>
    </w:p>
    <w:p>
      <w:pPr>
        <w:spacing w:before="104" w:line="221" w:lineRule="auto"/>
        <w:ind w:firstLine="4"/>
        <w:rPr>
          <w:rFonts w:hint="eastAsia" w:ascii="仿宋_GB2312" w:hAnsi="仿宋_GB2312" w:eastAsia="仿宋_GB2312" w:cs="仿宋_GB2312"/>
          <w:spacing w:val="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4" w:line="221" w:lineRule="auto"/>
        <w:ind w:firstLin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经济学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97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十个河南研究(围绕技能河南、设计河南、信用河南、标准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河南、体育河南、书香河南、法治河南、平安河南、美丽河南、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清廉河南分领域进行研究)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98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创新驱动科教兴省人才强省战略重点任务研究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99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优势再造战略重点任务研究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数字化转型战略重点任务研究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101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换道领跑战略重点任务研究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102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文旅文创融合战略重点任务研究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103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以人为核心的新型城镇化战略重点任务研究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104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乡村振兴战略重点任务研究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105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绿色低碳转型战略重点任务研究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106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制度型开放战略重点任务研究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107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全面深化改革战略重点任务研究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108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南水北调生态保护与高质量发展研究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109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河南参与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一带一路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建设的路径优化研究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加快河南航空枢纽经济发展与战略支撑体系建设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河南建设国家创新高地的实施路径研究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112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河南加快打造一流创新生态研究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113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河南海外高端人才引进研究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114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新发展阶段河南产业链现代化的实现路径研究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115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河南制造业高质量发展研究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116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河南优势传统产业数字化转型的关键制约与突破研究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117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进一步深化混合所有制改革的重点、难点及对策研究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118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碳达峰碳中和目标下河南产业的调整与升级研究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119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双碳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目标下河南能源结构优化研究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120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河南构建区块链技术体系研究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121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新发展格局下共同富裕的实现路径研究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122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新发展阶段城乡融合发展研究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123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新发展阶段下规模性返贫的防范与治理机制研究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124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河南县域治理现代化研究</w:t>
      </w:r>
    </w:p>
    <w:p>
      <w:pPr>
        <w:spacing w:before="209" w:line="365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125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新发展格局下河南县域经济成高原研究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126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河南创新土地托管模式研究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127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新发展格局下河南土地流转的现状调查研究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128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河南农村宅基地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三权分置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改革试点工作成效评估研究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129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农村集体经营性建设用地入市的实践及对策研究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130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新发展阶段农村基础设施和基本公共服务投融资体制机制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131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鼓励国有企业和社会资本参与乡村振兴的路径和政策研究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132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河南粮食生产高质量发展路径研究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133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河南打造种业强省的路径研究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134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河南食品产业优势升级再造战略实施机制研究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135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碳达峰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背景下河南畜牧业高质量发展研究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136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河南小规模农户从事农业生产现状与问题研究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137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河南民营企业改革发展研究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138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双循环背景下河南创新型企业发展策略研究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139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新冠肺炎疫情冲击下河南中小企业生存与发展研究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140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河南小微企业重焕活力研究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141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河南中小企业共性关键技术突破研究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142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碳中和背景下河南企业社会责任研究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143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基于共同富裕的河南新型城镇化实现路径研究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144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新发展格局下中原城市群一体化体制机制创新研究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145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提高河南城市能级研究</w:t>
      </w:r>
    </w:p>
    <w:p>
      <w:pPr>
        <w:spacing w:before="259" w:line="360" w:lineRule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146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河南国际消费中心城市建设研究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147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加快郑州国家中心城市建设研究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18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w w:val="99"/>
          <w:sz w:val="32"/>
          <w:szCs w:val="32"/>
        </w:rPr>
        <w:t>148</w:t>
      </w:r>
      <w:r>
        <w:rPr>
          <w:rFonts w:hint="eastAsia" w:ascii="仿宋_GB2312" w:hAnsi="仿宋_GB2312" w:eastAsia="仿宋_GB2312" w:cs="仿宋_GB2312"/>
          <w:spacing w:val="18"/>
          <w:w w:val="99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pacing w:val="18"/>
          <w:w w:val="99"/>
          <w:sz w:val="32"/>
          <w:szCs w:val="32"/>
        </w:rPr>
        <w:t>1+8”郑州都市圈研究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149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以郑洛宛协同发展优化河南发展新格局研究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150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加快南阳副中心城市建设研究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151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本质安全理念下河南城市安全风险防控体系建设研究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152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支持和引导资本规范健康发展研究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153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河南进一步优化营商环境的重点难点研究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154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河南发展科技金融研究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155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乡村振兴战略背景下金融服务模式创新研究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156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新时代河南智慧旅游发展研究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157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基于乡村振兴的河南旅游资源开发模式研究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158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河南黄河文化旅游带高质量建设路径研究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159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河南中医药创新发展研究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160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促进河南房地产业良性循环和健康发展研究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161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双循环”新格局下河南消费提振策略研究</w:t>
      </w:r>
    </w:p>
    <w:p>
      <w:pPr>
        <w:spacing w:line="24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04" w:line="222" w:lineRule="auto"/>
        <w:ind w:firstLin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河南文化工程专项研究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162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五千多年中华文明史的演进、分期及特质研究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163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中华文明起源与发展研究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164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中华文明多元一体格局形成过程研究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165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古代国家礼制与中华礼仪文明延续性研究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166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中原史前文化口述史研究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167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中原学的理论基础、基本范畴与学科体系研究(分专题分领域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如中原经济学、中原伦理学)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168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仰韶文化研究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169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夏文化研究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170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殷商文化与中原殷商学研究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171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河洛文化与河洛学研究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172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春秋文化研究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173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汉文化研究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174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炎黄学研究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175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新宋学研究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176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冯友兰新理学研究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177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新时代黄河学研究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178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塑造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行走河南、读懂中国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文化品牌研究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179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黄河文化、中原文化基因解码与应用推广研究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180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河南打造中华美学策源地路径研究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181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黄河文化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根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的河南体现研究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182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构建黄河文化遗产系统保护工程研究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183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新时代河南文化强省建设路径与对策研究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184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河南国际旅游目的地形象定位、设计与塑造研究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185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河南非物质文化遗产传承创新与对外传播研究</w:t>
      </w:r>
    </w:p>
    <w:p>
      <w:pPr>
        <w:spacing w:before="222" w:line="361" w:lineRule="auto"/>
        <w:ind w:right="82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8" w:lineRule="exact"/>
      <w:ind w:firstLine="4405"/>
      <w:rPr>
        <w:rFonts w:ascii="幼圆" w:hAnsi="幼圆" w:eastAsia="幼圆" w:cs="幼圆"/>
        <w:sz w:val="20"/>
        <w:szCs w:val="20"/>
      </w:rPr>
    </w:pPr>
    <w:r>
      <w:rPr>
        <w:rFonts w:ascii="幼圆" w:hAnsi="幼圆" w:eastAsia="幼圆" w:cs="幼圆"/>
        <w:position w:val="-3"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8" w:lineRule="exact"/>
      <w:ind w:firstLine="4410"/>
      <w:rPr>
        <w:rFonts w:ascii="仿宋" w:hAnsi="仿宋" w:eastAsia="仿宋" w:cs="仿宋"/>
        <w:sz w:val="16"/>
        <w:szCs w:val="16"/>
      </w:rPr>
    </w:pPr>
    <w:r>
      <w:rPr>
        <w:rFonts w:ascii="仿宋" w:hAnsi="仿宋" w:eastAsia="仿宋" w:cs="仿宋"/>
        <w:position w:val="-2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2" w:lineRule="exact"/>
      <w:ind w:firstLine="4370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position w:val="-2"/>
        <w:sz w:val="18"/>
        <w:szCs w:val="18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C2FC1"/>
    <w:rsid w:val="70CC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2022-03-04T06:31:00Z</dcterms:created>
  <dc:creator>教务处</dc:creator>
  <cp:lastModifiedBy>教务处</cp:lastModifiedBy>
  <dcterms:modified xsi:type="dcterms:W3CDTF">2022-03-04T07:00:55Z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DDA5C741A04245FFB2F42369742E94C1</vt:lpwstr>
  </property>
</Properties>
</file>