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  <w:bookmarkEnd w:id="0"/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/>
          <w:sz w:val="32"/>
        </w:rPr>
        <w:t>V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郑州市嵩山南路1号501室市社科联学会部。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1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项目组负责人和主要成员已有相关成果，主要参考文献（请分4部分逐项填写，可以自行加页，原则不超过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0F9A"/>
    <w:rsid w:val="448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2021-12-23T02:23:00Z</dcterms:created>
  <dc:creator>教务处</dc:creator>
  <cp:lastModifiedBy>教务处</cp:lastModifiedBy>
  <dcterms:modified xsi:type="dcterms:W3CDTF">2021-12-23T02:25:13Z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E14C34C284D5438B9A076D64942DFB9C</vt:lpwstr>
  </property>
</Properties>
</file>