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郑州工商学院青年</w:t>
      </w:r>
      <w:r>
        <w:rPr>
          <w:rFonts w:hint="eastAsia" w:ascii="方正小标宋简体" w:hAnsi="宋体" w:eastAsia="方正小标宋简体"/>
          <w:sz w:val="36"/>
          <w:szCs w:val="36"/>
        </w:rPr>
        <w:t>教师教学质量奖评估表</w:t>
      </w:r>
    </w:p>
    <w:p>
      <w:pPr>
        <w:spacing w:after="62" w:afterLines="20"/>
        <w:ind w:right="482"/>
        <w:jc w:val="center"/>
        <w:rPr>
          <w:rFonts w:ascii="宋体" w:hAnsi="宋体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平均总得分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tbl>
      <w:tblPr>
        <w:tblStyle w:val="2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46"/>
        <w:gridCol w:w="1206"/>
        <w:gridCol w:w="1418"/>
        <w:gridCol w:w="1701"/>
        <w:gridCol w:w="709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授课教师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课程名称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授课班级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授课内容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学生应到人数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实到人数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评估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专家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评估时间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28"/>
          <w:szCs w:val="28"/>
        </w:rPr>
      </w:pP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762"/>
        <w:gridCol w:w="760"/>
        <w:gridCol w:w="1007"/>
        <w:gridCol w:w="882"/>
        <w:gridCol w:w="12"/>
        <w:gridCol w:w="111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  估  指  标</w:t>
            </w:r>
          </w:p>
        </w:tc>
        <w:tc>
          <w:tcPr>
            <w:tcW w:w="377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 估 等 级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一级指标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二级指标及其内涵标准</w:t>
            </w:r>
          </w:p>
        </w:tc>
        <w:tc>
          <w:tcPr>
            <w:tcW w:w="7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优秀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(9.0-10.0)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良好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(7.0-8.5)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合格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(5.0-6.5)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不合格</w:t>
            </w:r>
          </w:p>
          <w:p>
            <w:pPr>
              <w:jc w:val="center"/>
              <w:rPr>
                <w:rFonts w:ascii="楷体_GB2312" w:hAnsi="宋体" w:eastAsia="楷体_GB2312"/>
                <w:sz w:val="15"/>
                <w:szCs w:val="15"/>
              </w:rPr>
            </w:pPr>
            <w:r>
              <w:rPr>
                <w:rFonts w:hint="eastAsia" w:ascii="楷体_GB2312" w:hAnsi="宋体" w:eastAsia="楷体_GB2312"/>
                <w:sz w:val="15"/>
                <w:szCs w:val="15"/>
              </w:rPr>
              <w:t>(0.0-4.5)</w:t>
            </w: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教学内容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（40分）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1.教学资料齐全、规范。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2.传授知识准确、科学，对课程内容娴熟，运用自如。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3.教学信息量大，深浅适宜。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4.能够理论联系实际，注重引导学生思考本学科专业发展的新问题。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教学方法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（30分）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5.适合本专业特征和学生特点，注重能力培养；课堂组织科学、严谨，讲授条理清楚，重点难点突出。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6.教学过程优化，教学组织合理，能有效利用教学时间；教法</w:t>
            </w:r>
            <w:r>
              <w:rPr>
                <w:rFonts w:ascii="楷体_GB2312" w:hAnsi="宋体" w:eastAsia="楷体_GB2312"/>
                <w:sz w:val="24"/>
              </w:rPr>
              <w:t>灵活</w:t>
            </w:r>
            <w:r>
              <w:rPr>
                <w:rFonts w:hint="eastAsia" w:ascii="楷体_GB2312" w:hAnsi="宋体" w:eastAsia="楷体_GB2312"/>
                <w:sz w:val="24"/>
              </w:rPr>
              <w:t>，围绕学生良好学习习惯的养成采取了有效方法。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7.能使用多媒体等现代教育技术和普通话进行教学，富有艺术性。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教学效果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（30分）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8.课堂讲授富有吸引力，学生思维活跃，师生交流充分，学生到课率高。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9.能培养学生良好学风，达到预定的教学目标，学生学习效果良好。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continue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762" w:type="dxa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10.学生作业完成及课外辅导答疑情况良好；学生对教学的满意程度高。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before="156" w:beforeLines="50" w:line="280" w:lineRule="exact"/>
        <w:rPr>
          <w:rFonts w:ascii="楷体_GB2312" w:hAnsi="宋体" w:eastAsia="楷体_GB2312"/>
          <w:spacing w:val="-6"/>
          <w:sz w:val="22"/>
        </w:rPr>
      </w:pPr>
      <w:r>
        <w:rPr>
          <w:rFonts w:hint="eastAsia" w:ascii="楷体_GB2312" w:hAnsi="宋体" w:eastAsia="楷体_GB2312"/>
          <w:b/>
          <w:sz w:val="22"/>
        </w:rPr>
        <w:t>注：</w:t>
      </w:r>
      <w:r>
        <w:rPr>
          <w:rFonts w:hint="eastAsia" w:ascii="楷体_GB2312" w:hAnsi="宋体" w:eastAsia="楷体_GB2312"/>
          <w:sz w:val="22"/>
        </w:rPr>
        <w:t>1.评估等级分为“优秀、良好、合格、不合格”；“优秀”分值为9.0-10.0分，“良好”分值为7.0-8.5分，“合格”分值为5.0-6.5分，“不合格” 分值为0.0-4.5分；评委打分时，以0.5为一个打分单位。2．请评委在评估等级相应的栏内打“√”，先判定级别，然后对照等级分值在得分栏内打分。3．</w:t>
      </w:r>
      <w:r>
        <w:rPr>
          <w:rFonts w:hint="eastAsia" w:ascii="楷体_GB2312" w:hAnsi="宋体" w:eastAsia="楷体_GB2312"/>
          <w:spacing w:val="-6"/>
          <w:sz w:val="22"/>
        </w:rPr>
        <w:t>表内各项得分为各评委打分去掉一个最高分、去掉一个最低分后的平均值。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031A"/>
    <w:rsid w:val="275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2020-11-26T00:20:00Z</dcterms:created>
  <dc:creator>郑州工商-崔璨</dc:creator>
  <cp:lastModifiedBy>郑州工商-崔璨</cp:lastModifiedBy>
  <dcterms:modified xsi:type="dcterms:W3CDTF">2020-11-26T00:23:00Z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