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720"/>
        </w:tabs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tabs>
          <w:tab w:val="left" w:pos="540"/>
          <w:tab w:val="left" w:pos="720"/>
        </w:tabs>
        <w:ind w:firstLine="598" w:firstLineChars="200"/>
        <w:rPr>
          <w:rFonts w:hint="eastAsia" w:ascii="黑体" w:eastAsia="黑体"/>
          <w:color w:val="000000"/>
        </w:rPr>
      </w:pPr>
    </w:p>
    <w:p>
      <w:pPr>
        <w:tabs>
          <w:tab w:val="left" w:pos="1260"/>
        </w:tabs>
        <w:snapToGrid w:val="0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2021年河南省高等教育教学改革研究</w:t>
      </w:r>
    </w:p>
    <w:p>
      <w:pPr>
        <w:tabs>
          <w:tab w:val="left" w:pos="1260"/>
        </w:tabs>
        <w:snapToGrid w:val="0"/>
        <w:jc w:val="center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与实践项目（研究生教育）选题方向</w:t>
      </w:r>
    </w:p>
    <w:p>
      <w:pPr>
        <w:ind w:firstLine="601"/>
        <w:rPr>
          <w:rFonts w:hint="eastAsia" w:ascii="仿宋_GB2312"/>
          <w:b/>
          <w:color w:val="000000"/>
          <w:sz w:val="32"/>
          <w:szCs w:val="32"/>
        </w:rPr>
      </w:pP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1. 世界一流大学和一流学科建设研究与实践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2. 重点学科高质量发展研究与实践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3. 学位授予单位及学位授权点立项建设研究与实践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4. 学位与研究生教育高质量发展研究与实践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5. 学位管理工作研究与实践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6. 学位信息工作研究与实践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7. 学位授予质量保障机制建设研究与实践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8. 学位论文质量监督体系构建研究与实践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9. 学位论文质量提升路径研究与实践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10. 专业学位研究生教育综合改革研究与实践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11. 研究生培养模式改革研究与实践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12. 研究生思想政治理论教育研究与实践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13. 研究生课程教学改革研究与实践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14. 研究生教育管理工作机制体系创新研究与实践</w:t>
      </w:r>
    </w:p>
    <w:p>
      <w:pPr>
        <w:ind w:firstLine="601"/>
        <w:rPr>
          <w:rFonts w:hint="eastAsia" w:ascii="仿宋_GB2312"/>
          <w:color w:val="000000"/>
          <w:sz w:val="32"/>
          <w:szCs w:val="32"/>
          <w:lang w:val="en"/>
        </w:rPr>
        <w:sectPr>
          <w:footerReference r:id="rId3" w:type="default"/>
          <w:footerReference r:id="rId4" w:type="even"/>
          <w:pgSz w:w="11906" w:h="16838"/>
          <w:pgMar w:top="1644" w:right="1304" w:bottom="2268" w:left="1588" w:header="0" w:footer="1814" w:gutter="0"/>
          <w:cols w:space="720" w:num="1"/>
          <w:docGrid w:type="linesAndChars" w:linePitch="587" w:charSpace="-205"/>
        </w:sectPr>
      </w:pPr>
      <w:r>
        <w:rPr>
          <w:rFonts w:hint="eastAsia" w:ascii="仿宋_GB2312"/>
          <w:color w:val="000000"/>
          <w:sz w:val="32"/>
          <w:szCs w:val="32"/>
        </w:rPr>
        <w:t>15. 研究生导师队伍建设研究与实践</w:t>
      </w:r>
      <w:bookmarkStart w:id="0" w:name="_GoBack"/>
      <w:bookmarkEnd w:id="0"/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6"/>
        <w:rFonts w:hint="eastAsia" w:ascii="仿宋_GB2312" w:hAnsi="Calibri" w:eastAsia="仿宋_GB2312" w:cs="Times New Roman"/>
        <w:kern w:val="2"/>
        <w:sz w:val="30"/>
        <w:szCs w:val="30"/>
        <w:lang w:val="en-US" w:eastAsia="zh-CN" w:bidi="ar-SA"/>
      </w:rPr>
    </w:pPr>
    <w:r>
      <w:rPr>
        <w:rStyle w:val="6"/>
        <w:rFonts w:hint="eastAsia" w:ascii="仿宋_GB2312" w:hAnsi="Times New Roman" w:eastAsia="宋体" w:cs="Times New Roman"/>
        <w:kern w:val="2"/>
        <w:sz w:val="30"/>
        <w:szCs w:val="30"/>
        <w:lang w:val="en-US" w:eastAsia="zh-CN" w:bidi="ar-SA"/>
      </w:rPr>
      <w:t xml:space="preserve">— </w:t>
    </w:r>
    <w:r>
      <w:rPr>
        <w:rFonts w:hint="eastAsia" w:ascii="仿宋_GB2312" w:hAnsi="Calibri" w:eastAsia="仿宋_GB2312" w:cs="Times New Roman"/>
        <w:kern w:val="2"/>
        <w:sz w:val="30"/>
        <w:szCs w:val="30"/>
        <w:lang w:val="en-US" w:eastAsia="zh-CN" w:bidi="ar-SA"/>
      </w:rPr>
      <w:fldChar w:fldCharType="begin"/>
    </w:r>
    <w:r>
      <w:rPr>
        <w:rStyle w:val="6"/>
        <w:rFonts w:hint="eastAsia" w:ascii="仿宋_GB2312" w:hAnsi="Times New Roman" w:eastAsia="宋体" w:cs="Times New Roman"/>
        <w:kern w:val="2"/>
        <w:sz w:val="30"/>
        <w:szCs w:val="30"/>
        <w:lang w:val="en-US" w:eastAsia="zh-CN" w:bidi="ar-SA"/>
      </w:rPr>
      <w:instrText xml:space="preserve"> PAGE </w:instrText>
    </w:r>
    <w:r>
      <w:rPr>
        <w:rFonts w:hint="eastAsia" w:ascii="仿宋_GB2312" w:hAnsi="Calibri" w:eastAsia="仿宋_GB2312" w:cs="Times New Roman"/>
        <w:kern w:val="2"/>
        <w:sz w:val="30"/>
        <w:szCs w:val="30"/>
        <w:lang w:val="en-US" w:eastAsia="zh-CN" w:bidi="ar-SA"/>
      </w:rPr>
      <w:fldChar w:fldCharType="separate"/>
    </w:r>
    <w:r>
      <w:rPr>
        <w:rStyle w:val="6"/>
        <w:rFonts w:ascii="仿宋_GB2312" w:hAnsi="Times New Roman" w:eastAsia="宋体" w:cs="Times New Roman"/>
        <w:kern w:val="2"/>
        <w:sz w:val="30"/>
        <w:szCs w:val="30"/>
        <w:lang w:val="en-US" w:eastAsia="zh-CN" w:bidi="ar-SA"/>
      </w:rPr>
      <w:t>11</w:t>
    </w:r>
    <w:r>
      <w:rPr>
        <w:rFonts w:hint="eastAsia" w:ascii="仿宋_GB2312" w:hAnsi="Calibri" w:eastAsia="仿宋_GB2312" w:cs="Times New Roman"/>
        <w:kern w:val="2"/>
        <w:sz w:val="30"/>
        <w:szCs w:val="30"/>
        <w:lang w:val="en-US" w:eastAsia="zh-CN" w:bidi="ar-SA"/>
      </w:rPr>
      <w:fldChar w:fldCharType="end"/>
    </w:r>
    <w:r>
      <w:rPr>
        <w:rStyle w:val="6"/>
        <w:rFonts w:hint="eastAsia" w:ascii="仿宋_GB2312" w:hAnsi="Times New Roman" w:eastAsia="宋体" w:cs="Times New Roman"/>
        <w:kern w:val="2"/>
        <w:sz w:val="30"/>
        <w:szCs w:val="30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jc w:val="left"/>
      <w:rPr>
        <w:rStyle w:val="6"/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Style w:val="6"/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instrText xml:space="preserve">PAGE  </w:instrText>
    </w:r>
    <w:r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snapToGrid w:val="0"/>
      <w:ind w:right="360" w:firstLine="36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/>
        <w:sz w:val="30"/>
        <w:szCs w:val="30"/>
      </w:rPr>
    </w:pPr>
    <w:r>
      <w:rPr>
        <w:rStyle w:val="6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6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6"/>
        <w:rFonts w:ascii="仿宋_GB2312"/>
        <w:sz w:val="30"/>
        <w:szCs w:val="30"/>
      </w:rPr>
      <w:t>11</w:t>
    </w:r>
    <w:r>
      <w:rPr>
        <w:rFonts w:hint="eastAsia" w:ascii="仿宋_GB2312"/>
        <w:sz w:val="30"/>
        <w:szCs w:val="30"/>
      </w:rPr>
      <w:fldChar w:fldCharType="end"/>
    </w:r>
    <w:r>
      <w:rPr>
        <w:rStyle w:val="6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12F01"/>
    <w:rsid w:val="4411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Char"/>
    <w:basedOn w:val="1"/>
    <w:uiPriority w:val="0"/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2021-09-24T03:02:00Z</dcterms:created>
  <dc:creator>冯欢</dc:creator>
  <cp:lastModifiedBy>冯欢</cp:lastModifiedBy>
  <dcterms:modified xsi:type="dcterms:W3CDTF">2021-09-24T03:06:29Z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41880F0B26AD46CFB038D43E1B7E9EE3</vt:lpwstr>
  </property>
</Properties>
</file>