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高校原创文化精品推广行动计划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作品申报</w:t>
      </w: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</w:rPr>
        <w:t>书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</w:rPr>
      </w:pPr>
    </w:p>
    <w:p>
      <w:pPr>
        <w:spacing w:line="600" w:lineRule="exact"/>
        <w:jc w:val="center"/>
        <w:rPr>
          <w:rFonts w:ascii="楷体" w:hAnsi="楷体" w:eastAsia="楷体" w:cs="Times New Roman"/>
          <w:kern w:val="32"/>
          <w:sz w:val="36"/>
          <w:szCs w:val="36"/>
        </w:rPr>
      </w:pPr>
      <w:r>
        <w:rPr>
          <w:rFonts w:hint="eastAsia" w:ascii="楷体" w:hAnsi="楷体" w:eastAsia="楷体" w:cs="Times New Roman"/>
          <w:kern w:val="32"/>
          <w:sz w:val="36"/>
          <w:szCs w:val="36"/>
        </w:rPr>
        <w:t>（</w:t>
      </w:r>
      <w:r>
        <w:rPr>
          <w:rFonts w:ascii="楷体" w:hAnsi="楷体" w:eastAsia="楷体" w:cs="Times New Roman"/>
          <w:kern w:val="32"/>
          <w:sz w:val="36"/>
          <w:szCs w:val="36"/>
        </w:rPr>
        <w:t>B</w:t>
      </w:r>
      <w:r>
        <w:rPr>
          <w:rFonts w:hint="eastAsia" w:ascii="楷体" w:hAnsi="楷体" w:eastAsia="楷体" w:cs="Times New Roman"/>
          <w:kern w:val="32"/>
          <w:sz w:val="36"/>
          <w:szCs w:val="36"/>
        </w:rPr>
        <w:t>表）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作品名称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填报日期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宋体" w:eastAsia="楷体_GB2312" w:cs="Times New Roman"/>
          <w:color w:val="000000"/>
          <w:kern w:val="32"/>
          <w:sz w:val="32"/>
          <w:szCs w:val="32"/>
        </w:rPr>
      </w:pPr>
      <w:r>
        <w:rPr>
          <w:rFonts w:hint="eastAsia" w:ascii="楷体_GB2312" w:hAnsi="宋体" w:eastAsia="楷体_GB2312" w:cs="Times New Roman"/>
          <w:color w:val="000000"/>
          <w:kern w:val="32"/>
          <w:sz w:val="32"/>
          <w:szCs w:val="32"/>
        </w:rPr>
        <w:t>教育部思想政治工作司制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</w:rPr>
        <w:t>2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1年8月</w:t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五、凡递交的《申报书（B表）》及支撑材料不得透露任何高校、团队和个人相关信息，否则取消申报资格。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六、凡递交的《申报书》及支撑材料概不退还。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color w:val="FF0000"/>
          <w:kern w:val="0"/>
          <w:sz w:val="32"/>
          <w:szCs w:val="32"/>
        </w:rPr>
      </w:pP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一、作品基本信息</w:t>
      </w:r>
    </w:p>
    <w:tbl>
      <w:tblPr>
        <w:tblStyle w:val="3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555"/>
        <w:gridCol w:w="169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类    型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完成时间</w:t>
            </w:r>
          </w:p>
        </w:tc>
        <w:tc>
          <w:tcPr>
            <w:tcW w:w="7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7" w:hRule="atLeast"/>
          <w:jc w:val="center"/>
        </w:trPr>
        <w:tc>
          <w:tcPr>
            <w:tcW w:w="9368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作品梗概、构思方案或结构框架简介（可附页）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二、作品前期基础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-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已开展情况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3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8755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主要包括作品创作、排演、推广等方面的情况。</w:t>
            </w:r>
          </w:p>
        </w:tc>
      </w:tr>
    </w:tbl>
    <w:p>
      <w:pPr>
        <w:spacing w:before="156" w:beforeLines="50" w:after="156" w:afterLines="50" w:line="280" w:lineRule="atLeast"/>
        <w:rPr>
          <w:rFonts w:ascii="黑体" w:hAnsi="宋体" w:eastAsia="黑体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2作品特色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主要包括作品的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育人特色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、品牌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、成果特色以及创新特色等方面的内容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3育人实效（可附页）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师生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满意度、受教育效果，媒体、同行评价情况，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作品所获荣誉以及工作成果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4推广价值（可附页）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主要包括与文化育人相结合的典型案例、育人模式、育人经验等的推广应用、示范引领价值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Times New Roman"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三、作品推广计划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3-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1推广目标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主要包括在育人品牌创建、推广转化等方面的预期目标。</w:t>
            </w: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3-2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推广方案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主要包括作品推广转化的工作思路、建设规划、实施步骤、推进路线等方面的内容。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四、条件保障</w:t>
      </w:r>
      <w:r>
        <w:rPr>
          <w:rFonts w:hint="eastAsia" w:ascii="楷体_GB2312" w:hAnsi="宋体" w:eastAsia="楷体_GB2312" w:cs="Times New Roman"/>
          <w:bCs/>
          <w:kern w:val="32"/>
          <w:sz w:val="32"/>
          <w:szCs w:val="32"/>
        </w:rPr>
        <w:t>（可附页）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主要包括作品推荐高校在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、经费、平台、人员、硬件设备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等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方面所提供的支持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72C27"/>
    <w:rsid w:val="6947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2021-09-10T08:00:00Z</dcterms:created>
  <dc:creator>教务处</dc:creator>
  <cp:lastModifiedBy>教务处</cp:lastModifiedBy>
  <dcterms:modified xsi:type="dcterms:W3CDTF">2021-09-10T08:00:30Z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C23A65D31EFA4B2EAE5CC9A5BD2A05AB</vt:lpwstr>
  </property>
</Properties>
</file>