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hint="eastAsia" w:ascii="Times New Roman" w:hAnsi="Times New Roman" w:eastAsia="方正小标宋简体" w:cs="Times New Roman"/>
          <w:bCs/>
          <w:spacing w:val="4"/>
          <w:kern w:val="36"/>
          <w:sz w:val="40"/>
          <w:szCs w:val="40"/>
        </w:rPr>
        <w:t>高校思想政治工作中青年骨干队伍建设项目</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bookmarkStart w:id="0" w:name="_GoBack"/>
      <w:r>
        <w:rPr>
          <w:rFonts w:ascii="Times New Roman" w:hAnsi="Times New Roman" w:eastAsia="方正小标宋简体" w:cs="Times New Roman"/>
          <w:bCs/>
          <w:spacing w:val="4"/>
          <w:kern w:val="36"/>
          <w:sz w:val="40"/>
          <w:szCs w:val="40"/>
        </w:rPr>
        <w:t>管理办法（试行）</w:t>
      </w:r>
    </w:p>
    <w:bookmarkEnd w:id="0"/>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5"/>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5"/>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5"/>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5"/>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w:t>
      </w:r>
      <w:r>
        <w:rPr>
          <w:rFonts w:hint="eastAsia" w:ascii="Times New Roman" w:hAnsi="Times New Roman" w:eastAsia="仿宋_GB2312" w:cs="Times New Roman"/>
          <w:sz w:val="32"/>
          <w:szCs w:val="32"/>
        </w:rPr>
        <w:t>高校分管校领导、党委工作部门干部、共青团干部、辅导员、心理健康教育教师、网络文化建设管理干部</w:t>
      </w:r>
      <w:r>
        <w:rPr>
          <w:rFonts w:ascii="Times New Roman" w:hAnsi="Times New Roman" w:eastAsia="仿宋_GB2312" w:cs="Times New Roman"/>
          <w:sz w:val="32"/>
          <w:szCs w:val="32"/>
        </w:rPr>
        <w:t>等人员。</w:t>
      </w:r>
    </w:p>
    <w:p>
      <w:pPr>
        <w:pStyle w:val="5"/>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5"/>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5"/>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5"/>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5"/>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5"/>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5"/>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5"/>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5"/>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5"/>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5"/>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 xml:space="preserve">第十二条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一次性工作</w:t>
      </w:r>
      <w:r>
        <w:rPr>
          <w:rFonts w:ascii="Times New Roman" w:hAnsi="Times New Roman" w:eastAsia="仿宋_GB2312" w:cs="Times New Roman"/>
          <w:sz w:val="32"/>
          <w:szCs w:val="32"/>
        </w:rPr>
        <w:t>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adjustRightInd w:val="0"/>
        <w:snapToGrid w:val="0"/>
        <w:spacing w:line="600" w:lineRule="exact"/>
        <w:ind w:firstLine="640" w:firstLineChars="200"/>
        <w:rPr>
          <w:rFonts w:ascii="Times New Roman" w:hAnsi="Times New Roman" w:eastAsia="仿宋_GB2312" w:cs="Times New Roman"/>
          <w:sz w:val="32"/>
          <w:szCs w:val="32"/>
        </w:rPr>
      </w:pPr>
    </w:p>
    <w:p>
      <w:pPr>
        <w:pStyle w:val="5"/>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第二十一条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第二十二条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第二十三条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pPr>
      <w:r>
        <w:rPr>
          <w:rFonts w:ascii="Times New Roman" w:hAnsi="Times New Roman" w:eastAsia="仿宋_GB2312" w:cs="Times New Roman"/>
          <w:b/>
          <w:bCs/>
          <w:sz w:val="32"/>
          <w:szCs w:val="32"/>
        </w:rPr>
        <w:t xml:space="preserve">第二十四条  </w:t>
      </w:r>
      <w:r>
        <w:rPr>
          <w:rFonts w:ascii="Times New Roman" w:hAnsi="Times New Roman" w:eastAsia="仿宋_GB2312" w:cs="Times New Roman"/>
          <w:sz w:val="32"/>
          <w:szCs w:val="32"/>
        </w:rPr>
        <w:t>本办法自印发之日起施行。</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91902700"/>
    </w:sdtPr>
    <w:sdtEndPr>
      <w:rPr>
        <w:sz w:val="21"/>
      </w:rPr>
    </w:sdtEndPr>
    <w:sdtContent>
      <w:p>
        <w:pPr>
          <w:pStyle w:val="2"/>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44E50"/>
    <w:rsid w:val="3084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2021-09-10T07:52:00Z</dcterms:created>
  <dc:creator>教务处</dc:creator>
  <cp:lastModifiedBy>教务处</cp:lastModifiedBy>
  <dcterms:modified xsi:type="dcterms:W3CDTF">2021-09-10T07:53:00Z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4CD3448F1B9A4B7E9521F230E48BFD82</vt:lpwstr>
  </property>
</Properties>
</file>