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kern w:val="0"/>
          <w:sz w:val="44"/>
          <w:szCs w:val="44"/>
        </w:rPr>
        <w:t>2021年度郑州市社科调研课题选题参考指南</w:t>
      </w:r>
      <w:bookmarkEnd w:id="0"/>
    </w:p>
    <w:p>
      <w:pPr>
        <w:adjustRightInd w:val="0"/>
        <w:snapToGrid w:val="0"/>
        <w:spacing w:line="560" w:lineRule="exact"/>
        <w:rPr>
          <w:rFonts w:hint="eastAsia" w:ascii="仿宋_GB2312" w:hAnsi="华文中宋" w:eastAsia="仿宋_GB2312"/>
          <w:bCs/>
          <w:sz w:val="32"/>
          <w:szCs w:val="32"/>
        </w:rPr>
      </w:pPr>
    </w:p>
    <w:p>
      <w:pPr>
        <w:adjustRightInd w:val="0"/>
        <w:snapToGrid w:val="0"/>
        <w:spacing w:line="460" w:lineRule="exact"/>
        <w:rPr>
          <w:rFonts w:hint="eastAsia" w:ascii="黑体" w:hAnsi="黑体" w:eastAsia="黑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>哲政·党建</w:t>
      </w:r>
    </w:p>
    <w:p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1.习近平新时代中国特色社会主义思想在郑州的实践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2.习近平总书记关于新发展理念重要论述与郑州发展实践研究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3.习近平新时代文化建设思想与郑州实践研究</w:t>
      </w:r>
    </w:p>
    <w:p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4.建党100年郑州党建发展研究</w:t>
      </w:r>
    </w:p>
    <w:p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5.党建引领推动视域治理能力提升研究</w:t>
      </w:r>
    </w:p>
    <w:p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6.党建引领特大城市现代化治理新思路</w:t>
      </w:r>
    </w:p>
    <w:p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7.新时期宣传思想工作的新形势、新要求、新思路</w:t>
      </w:r>
    </w:p>
    <w:p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8.新技术对宣传思想工作的影响与应对策略研究</w:t>
      </w:r>
    </w:p>
    <w:p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9.强化意识形态责任制落实</w:t>
      </w:r>
    </w:p>
    <w:p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10.大数据应用与在郑高校意识形态安全研究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11.一体推进不敢腐、不能腐、不想腐体制机制建设</w:t>
      </w:r>
    </w:p>
    <w:p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12.加强对同级党委特别是“一把手”的监督</w:t>
      </w:r>
    </w:p>
    <w:p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13.以强有力的监督服务保障国家中心城市建设</w:t>
      </w:r>
    </w:p>
    <w:p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14.防范化解重大风险</w:t>
      </w:r>
    </w:p>
    <w:p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15.郑州构建特大城市重大安全风险防控体系研究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16.完善重大决策社会稳定风险评估机制</w:t>
      </w:r>
    </w:p>
    <w:p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17.自媒体时代超大城市舆情疏导机制研究</w:t>
      </w:r>
    </w:p>
    <w:p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18.加快构建风险化解管控闭环机制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19.拓展新时代文明实践中心建设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20.实施市民公共文明素养提升行动</w:t>
      </w:r>
    </w:p>
    <w:p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21.建设更高水平文明城市</w:t>
      </w:r>
    </w:p>
    <w:p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22.加强网络文明建设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pacing w:val="-6"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23.</w:t>
      </w:r>
      <w:r>
        <w:rPr>
          <w:rFonts w:hint="eastAsia" w:ascii="仿宋_GB2312" w:eastAsia="仿宋_GB2312"/>
          <w:bCs/>
          <w:spacing w:val="-6"/>
          <w:sz w:val="30"/>
          <w:szCs w:val="30"/>
        </w:rPr>
        <w:t>进一步健全志愿服务体系，推动“绿城使者”志愿服务行动常态化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24.</w:t>
      </w:r>
      <w:r>
        <w:rPr>
          <w:rFonts w:ascii="仿宋_GB2312" w:eastAsia="仿宋_GB2312"/>
          <w:bCs/>
          <w:sz w:val="30"/>
          <w:szCs w:val="30"/>
        </w:rPr>
        <w:t>全面提升郑州农村精神文明建设路径研究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25.提升领导干部的专业化能力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26.实行更加开放人才政策，加速汇聚创新人才</w:t>
      </w:r>
    </w:p>
    <w:p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27.创新人才评价回馈机制</w:t>
      </w:r>
    </w:p>
    <w:p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28.郑州市人才政策体系建设的效能评价研究</w:t>
      </w:r>
    </w:p>
    <w:p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29.人才落地政策与产学研一体化发展状况研究</w:t>
      </w:r>
    </w:p>
    <w:p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30.构筑市场化、法制化、国际化营商环境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31.郑州构建新型政商关系路径研究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32.郑州打造国际化营商环境升级版研究</w:t>
      </w:r>
    </w:p>
    <w:p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33.优化营商环境的难点和对策</w:t>
      </w:r>
    </w:p>
    <w:p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34.郑州营商环境与企业家精神培育研究</w:t>
      </w:r>
    </w:p>
    <w:p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35.优化民营企业发展环境，构筑亲清政商关系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36.提高行政效能，优化营商环境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37.探索以承诺制为核心的极简审批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38.对新产业新业态实行包容审慎监管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39.如何推进服务型政府建设</w:t>
      </w:r>
    </w:p>
    <w:p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40.全面深化农村改革，增强农村集体组织服务功能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41.郑州</w:t>
      </w:r>
      <w:r>
        <w:rPr>
          <w:rFonts w:ascii="仿宋_GB2312" w:eastAsia="仿宋_GB2312"/>
          <w:bCs/>
          <w:sz w:val="30"/>
          <w:szCs w:val="30"/>
        </w:rPr>
        <w:t>市农业生态补偿机制研究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42.如何推进大院名所引进</w:t>
      </w:r>
      <w:r>
        <w:rPr>
          <w:rFonts w:ascii="仿宋_GB2312" w:eastAsia="仿宋_GB2312"/>
          <w:bCs/>
          <w:sz w:val="30"/>
          <w:szCs w:val="30"/>
        </w:rPr>
        <w:t xml:space="preserve"> 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43.特大城市背景下优化营商环境的体制机制研究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44.郑州推动党建引领优势转化为乡村治理效能研究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45.郑州市村级党组织号召力提升的难点与对策研究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46.</w:t>
      </w:r>
      <w:r>
        <w:rPr>
          <w:rFonts w:ascii="仿宋_GB2312" w:eastAsia="仿宋_GB2312"/>
          <w:bCs/>
          <w:sz w:val="30"/>
          <w:szCs w:val="30"/>
        </w:rPr>
        <w:t>健全落实维护民族团结</w:t>
      </w:r>
      <w:r>
        <w:rPr>
          <w:rFonts w:hint="eastAsia" w:ascii="仿宋_GB2312" w:eastAsia="仿宋_GB2312"/>
          <w:bCs/>
          <w:sz w:val="30"/>
          <w:szCs w:val="30"/>
        </w:rPr>
        <w:t>、</w:t>
      </w:r>
      <w:r>
        <w:rPr>
          <w:rFonts w:ascii="仿宋_GB2312" w:eastAsia="仿宋_GB2312"/>
          <w:bCs/>
          <w:sz w:val="30"/>
          <w:szCs w:val="30"/>
        </w:rPr>
        <w:t>宗教和谐稳定的工作机制研究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47.</w:t>
      </w:r>
      <w:r>
        <w:rPr>
          <w:rFonts w:ascii="仿宋_GB2312" w:eastAsia="仿宋_GB2312"/>
          <w:bCs/>
          <w:sz w:val="30"/>
          <w:szCs w:val="30"/>
        </w:rPr>
        <w:t>加强农村宗教科学管理机制研究</w:t>
      </w:r>
    </w:p>
    <w:p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48.后疫情时代城市公共交通安全运营策略研究</w:t>
      </w:r>
    </w:p>
    <w:p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49.行政单位法律地位和执法资格获取路径研究</w:t>
      </w:r>
    </w:p>
    <w:p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50.网络时代高校思想政治教育精准供给</w:t>
      </w:r>
    </w:p>
    <w:p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51.新时期大学生思想行为特点及教育引导研究</w:t>
      </w:r>
    </w:p>
    <w:p>
      <w:pPr>
        <w:adjustRightInd w:val="0"/>
        <w:snapToGrid w:val="0"/>
        <w:spacing w:line="460" w:lineRule="exact"/>
        <w:rPr>
          <w:rFonts w:hint="eastAsia" w:ascii="黑体" w:hAnsi="黑体" w:eastAsia="黑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>经济·创新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pacing w:val="-6"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52.</w:t>
      </w:r>
      <w:r>
        <w:rPr>
          <w:rFonts w:hint="eastAsia" w:ascii="仿宋_GB2312" w:eastAsia="仿宋_GB2312"/>
          <w:bCs/>
          <w:spacing w:val="-6"/>
          <w:sz w:val="30"/>
          <w:szCs w:val="30"/>
        </w:rPr>
        <w:t>以国家黄河战略和中部崛起战略引领发展，强化郑州战略支撑作用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53.郑州如何在全省发挥更大辐射带动作用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54.郑州如何在全国同类城市竞争中形成更多比较优势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55.郑州如何在国际上赢得更大影响力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56.推进国际综合交通枢纽和开放门户建设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57.推进国家先进制造业基地建设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58.推进黄河流域生态保护和高质量发展核心示范区建设</w:t>
      </w:r>
    </w:p>
    <w:p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59.转变发展模式，实现精明增长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60.发挥郑州在国内大循环中的市场腹地优势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61.发挥郑州在国际循环中的交通枢纽优势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62.打造国内大循环的战略节点、国际国内双循环的战略联结点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63.打造“枢纽+物流+开放”的高水平对外开放体系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64.打造现代产业体系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65.如何增强城市对产业的承载力，产业对城市的支撑力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66.打造国家区域科技创新中心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67.高质量推进中原科技城建设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68.突出“人才+资本+场景”，以人才带动创新要素聚集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pacing w:val="-6"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69.</w:t>
      </w:r>
      <w:r>
        <w:rPr>
          <w:rFonts w:hint="eastAsia" w:ascii="仿宋_GB2312" w:eastAsia="仿宋_GB2312"/>
          <w:bCs/>
          <w:spacing w:val="-6"/>
          <w:sz w:val="30"/>
          <w:szCs w:val="30"/>
        </w:rPr>
        <w:t>建立以企业为主体的技术创新体系，推动产业链与创新链耦合衔接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70.推进以资本市场培育为重点的现代金融业发展</w:t>
      </w:r>
    </w:p>
    <w:p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71.推进以创新能力提升为核心的科技服务业发展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72.郑州科技成果转化方法研究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73.大力推进全域生态绿化主体工程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74.深化国家自主创新区改革创新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75.打造中原地区科技创新策源地和黄河流域高质量发展引领区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76.高水平建设郑州技术要素市场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77.建立完善科技、产业、金融协同促进的政策体系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78.在新发展格局中扩大郑州新优势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 xml:space="preserve">79.建设以空中丝绸之路为核心的“四路协同”发展新模式 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80.推进郑州“空中丝绸之路”开放试验区建设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81.加快构建内外融合互通的全球物流网络体系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82.培育高质量企业集群，形成大中小企业协同发展格局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83.推进国家服务型示范城市建设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84.打造时尚化、国际性消费中心城市</w:t>
      </w:r>
    </w:p>
    <w:p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85.拓展产业发展新空间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86.提高招商引资的能力和水平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87.搭建大中小企业协同发展平台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88.支持高技术、高成长、高附加值企业做大做强的政策措施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89.推动郑州智能制造与数字共建协同发展机制及对策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90.“一带一路”背景下，郑州开放经济高质量发展测度评价与引导政策研究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91.郑州城市建设用地多功能绩效评价与高效利用路径研究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92.推进产业数字化和数字产业化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93.推动制造业数字化、网络化、智能化转型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94.推动枢纽由“中转型”向“门户型”、“基地型”转变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95.推进以企业为主体的产学研结合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96.加快构建“枢纽+物流+开放”高水平对外开放体系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97.如何加快枢纽优势向物流优势、贸易优势、产业优势转化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98.推动现代服务业提速提质发展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99.加快新一轮信息技术与制造业融合发展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100.培育以网络为依托、科技创新为特征的新经济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101.郑州建设国际消费中心城市的路径研究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102.郑州高质量发展的新动力源研究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103.郑州产业功能区提能升级路径研究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104.郑州新经济发展模式研究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105.5G背景下郑州新兴产业发展路径选择研究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106.郑州建设开放型区域创新体系的战略研究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107.高校服务地方创新驱动发展能力评价及提升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108.郑州市金融创新支持科技型小微企业高质量发展研究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109.郑州科技型龙头企业培育及创新能力提升</w:t>
      </w:r>
    </w:p>
    <w:p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110.郑州完善企业研发和创新改革措施研究</w:t>
      </w:r>
    </w:p>
    <w:p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111.郑州市推进大数据产业发展的思路和重点举措研究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112.经开区打造郑州“全国先进制造业基地”核心区的调查与研究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113.郑州经开区打造内陆对外开放型经济实验区的调查与研究</w:t>
      </w:r>
    </w:p>
    <w:p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pacing w:val="-12"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114.</w:t>
      </w:r>
      <w:r>
        <w:rPr>
          <w:rFonts w:hint="eastAsia" w:ascii="仿宋_GB2312" w:eastAsia="仿宋_GB2312"/>
          <w:bCs/>
          <w:spacing w:val="-12"/>
          <w:sz w:val="30"/>
          <w:szCs w:val="30"/>
        </w:rPr>
        <w:t>郑州市主导产业如何形成链式整合+集群带动+特色发展的路径研究</w:t>
      </w:r>
    </w:p>
    <w:p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115.高水平建设郑州市技术要素交易市场思路与方案研究</w:t>
      </w:r>
    </w:p>
    <w:p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116.基于促进跨境投融资便利化的金融业国际化开放创新研究</w:t>
      </w:r>
    </w:p>
    <w:p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117.金融科技及金融人才竞争力提升研究</w:t>
      </w:r>
    </w:p>
    <w:p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118.郑州先进制造业和生产性服务业的融合发展</w:t>
      </w:r>
    </w:p>
    <w:p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119.国有企业如何充分发挥国有资本活力，激活创新潜力</w:t>
      </w:r>
    </w:p>
    <w:p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120.郑州市市管企业自主创新能力研究</w:t>
      </w:r>
    </w:p>
    <w:p>
      <w:pPr>
        <w:tabs>
          <w:tab w:val="left" w:pos="312"/>
        </w:tabs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121.郑州市制造业园区建设问题研究</w:t>
      </w:r>
    </w:p>
    <w:p>
      <w:pPr>
        <w:tabs>
          <w:tab w:val="left" w:pos="312"/>
        </w:tabs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122.郑州市先进制造业集群发展研究</w:t>
      </w:r>
    </w:p>
    <w:p>
      <w:pPr>
        <w:tabs>
          <w:tab w:val="left" w:pos="312"/>
        </w:tabs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123.郑州市产业链现代化水平提升研究</w:t>
      </w:r>
    </w:p>
    <w:p>
      <w:pPr>
        <w:tabs>
          <w:tab w:val="left" w:pos="312"/>
        </w:tabs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124.郑州市数字经济发展研究</w:t>
      </w:r>
    </w:p>
    <w:p>
      <w:pPr>
        <w:tabs>
          <w:tab w:val="left" w:pos="312"/>
        </w:tabs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125.郑州市制造业创新能力提升研究</w:t>
      </w:r>
    </w:p>
    <w:p>
      <w:pPr>
        <w:tabs>
          <w:tab w:val="left" w:pos="312"/>
        </w:tabs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126.加快培育以制造业为主体的县域经济体系</w:t>
      </w:r>
    </w:p>
    <w:p>
      <w:pPr>
        <w:tabs>
          <w:tab w:val="left" w:pos="312"/>
        </w:tabs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127.以精品村、示范村为带动，推动美丽乡村建设</w:t>
      </w:r>
    </w:p>
    <w:p>
      <w:pPr>
        <w:tabs>
          <w:tab w:val="left" w:pos="312"/>
        </w:tabs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128.提高绿色发展水平，促进经济社会发展全面绿色转型</w:t>
      </w:r>
    </w:p>
    <w:p>
      <w:pPr>
        <w:tabs>
          <w:tab w:val="left" w:pos="312"/>
        </w:tabs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129.构建绿色制造体系，加快绿色低碳发展</w:t>
      </w:r>
    </w:p>
    <w:p>
      <w:pPr>
        <w:tabs>
          <w:tab w:val="left" w:pos="312"/>
        </w:tabs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130.打造沿黄“自然风光+黄河文化+慢生活”休闲生态系统</w:t>
      </w:r>
    </w:p>
    <w:p>
      <w:pPr>
        <w:tabs>
          <w:tab w:val="left" w:pos="312"/>
        </w:tabs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131.健全生态文明制度体系</w:t>
      </w:r>
    </w:p>
    <w:p>
      <w:pPr>
        <w:tabs>
          <w:tab w:val="left" w:pos="312"/>
        </w:tabs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132.</w:t>
      </w:r>
      <w:r>
        <w:rPr>
          <w:rFonts w:ascii="仿宋_GB2312" w:eastAsia="仿宋_GB2312"/>
          <w:bCs/>
          <w:sz w:val="30"/>
          <w:szCs w:val="30"/>
        </w:rPr>
        <w:t>提升数字信息技术对郑州农业改造水平研究</w:t>
      </w:r>
    </w:p>
    <w:p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133.</w:t>
      </w:r>
      <w:r>
        <w:rPr>
          <w:rFonts w:ascii="仿宋_GB2312" w:eastAsia="仿宋_GB2312"/>
          <w:bCs/>
          <w:sz w:val="30"/>
          <w:szCs w:val="30"/>
        </w:rPr>
        <w:t>郑州市都市现代农业</w:t>
      </w:r>
      <w:r>
        <w:rPr>
          <w:rFonts w:hint="eastAsia" w:ascii="仿宋_GB2312" w:eastAsia="仿宋_GB2312"/>
          <w:bCs/>
          <w:sz w:val="30"/>
          <w:szCs w:val="30"/>
        </w:rPr>
        <w:t>发展</w:t>
      </w:r>
      <w:r>
        <w:rPr>
          <w:rFonts w:ascii="仿宋_GB2312" w:eastAsia="仿宋_GB2312"/>
          <w:bCs/>
          <w:sz w:val="30"/>
          <w:szCs w:val="30"/>
        </w:rPr>
        <w:t>方向及路径研究</w:t>
      </w:r>
    </w:p>
    <w:p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134.</w:t>
      </w:r>
      <w:r>
        <w:rPr>
          <w:rFonts w:ascii="仿宋_GB2312" w:eastAsia="仿宋_GB2312"/>
          <w:bCs/>
          <w:sz w:val="30"/>
          <w:szCs w:val="30"/>
        </w:rPr>
        <w:t>郑州市美丽乡村可持续发展模式研究</w:t>
      </w:r>
    </w:p>
    <w:p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135.</w:t>
      </w:r>
      <w:r>
        <w:rPr>
          <w:rFonts w:ascii="仿宋_GB2312" w:eastAsia="仿宋_GB2312"/>
          <w:bCs/>
          <w:sz w:val="30"/>
          <w:szCs w:val="30"/>
        </w:rPr>
        <w:t>郑州市农业农村优先发展实现路径研究</w:t>
      </w:r>
    </w:p>
    <w:p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136.</w:t>
      </w:r>
      <w:r>
        <w:rPr>
          <w:rFonts w:ascii="仿宋_GB2312" w:eastAsia="仿宋_GB2312"/>
          <w:bCs/>
          <w:sz w:val="30"/>
          <w:szCs w:val="30"/>
        </w:rPr>
        <w:t>郑州市壮大农村集体经济研究</w:t>
      </w:r>
    </w:p>
    <w:p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137.</w:t>
      </w:r>
      <w:r>
        <w:rPr>
          <w:rFonts w:ascii="仿宋_GB2312" w:eastAsia="仿宋_GB2312"/>
          <w:bCs/>
          <w:sz w:val="30"/>
          <w:szCs w:val="30"/>
        </w:rPr>
        <w:t>提升郑州市农业适度规模经营水平研究</w:t>
      </w:r>
    </w:p>
    <w:p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138.如何在黄河流域高质量发展前提下开展美丽乡村建设</w:t>
      </w:r>
    </w:p>
    <w:p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</w:p>
    <w:p>
      <w:pPr>
        <w:adjustRightInd w:val="0"/>
        <w:snapToGrid w:val="0"/>
        <w:spacing w:line="460" w:lineRule="exact"/>
        <w:rPr>
          <w:rFonts w:hint="eastAsia" w:ascii="黑体" w:hAnsi="黑体" w:eastAsia="黑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>历史·文化</w:t>
      </w:r>
    </w:p>
    <w:p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139.推进国家历史文化名城建设</w:t>
      </w:r>
    </w:p>
    <w:p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140.提升郑州文化传播力、影响力、渗透力</w:t>
      </w:r>
    </w:p>
    <w:p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141.提升“华夏之根、黄河之魂、天地之中、文明之源”全球认同感和感召力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142.环嵩山文化带人文研究与数字化创新展示，打造国家黄河历史文化主地标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143.郑州在黄河文化中的地位和作用</w:t>
      </w:r>
    </w:p>
    <w:p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144.传承弘扬黄河文化的重点难点及对策研究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145.黄河文化高质量发展建设研究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146.打造郑州黄河历史文化主地标城市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147.让黄河文化品牌更响亮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148.提炼特色城市元素，提升城市可读性</w:t>
      </w:r>
    </w:p>
    <w:p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149.树立城市设计理念，强化城市现代化气韵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150.塑造都市文化气韵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151.捡起历史文化“碎片”，打具有造中原文化特色街巷、街坊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152.扩大优质文化产品供给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153.加快推进文化创意产业发展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154.加快推动公共文化数字化建设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155.创新实施文化惠民工程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156.打造黄河流域国际旅游门户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157.推动文化旅游全域要素融合发展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158.培育文旅融合新业态新模式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159.统筹西部自然和文化资源，加快建设美丽乡村示范带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160.创新实施文化惠民工程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161.深入推进城乡公共文化服务体系一体化建设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162.全媒体传播视域下郑州国际营销体系构建研究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163.全域旅游视角下郑州旅游经济转型升级研究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164.消费场景化与郑州历史街区升级研究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165.郑州国际形象的文化标识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166.文旅融合背景下文化符号及其旅游活化研究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167.郑州国际形象的话语构建与策略</w:t>
      </w:r>
    </w:p>
    <w:p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168.</w:t>
      </w:r>
      <w:r>
        <w:rPr>
          <w:rFonts w:ascii="仿宋_GB2312" w:eastAsia="仿宋_GB2312"/>
          <w:bCs/>
          <w:sz w:val="30"/>
          <w:szCs w:val="30"/>
        </w:rPr>
        <w:t>“</w:t>
      </w:r>
      <w:r>
        <w:rPr>
          <w:rFonts w:hint="eastAsia" w:ascii="仿宋_GB2312" w:eastAsia="仿宋_GB2312"/>
          <w:bCs/>
          <w:sz w:val="30"/>
          <w:szCs w:val="30"/>
        </w:rPr>
        <w:t>十四五</w:t>
      </w:r>
      <w:r>
        <w:rPr>
          <w:rFonts w:ascii="仿宋_GB2312" w:eastAsia="仿宋_GB2312"/>
          <w:bCs/>
          <w:sz w:val="30"/>
          <w:szCs w:val="30"/>
        </w:rPr>
        <w:t>”</w:t>
      </w:r>
      <w:r>
        <w:rPr>
          <w:rFonts w:hint="eastAsia" w:ascii="仿宋_GB2312" w:eastAsia="仿宋_GB2312"/>
          <w:bCs/>
          <w:sz w:val="30"/>
          <w:szCs w:val="30"/>
        </w:rPr>
        <w:t>时期郑州文化发展的突破点研究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169.郑州文化国际品牌建设与传播研究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170.黄河主地标城市建设与城市文化生活有机融合研究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171.创新构建郑州多元高层次文创产业投融资机制研究</w:t>
      </w:r>
    </w:p>
    <w:p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172.郑州</w:t>
      </w:r>
      <w:r>
        <w:rPr>
          <w:rFonts w:ascii="仿宋_GB2312" w:eastAsia="仿宋_GB2312"/>
          <w:bCs/>
          <w:sz w:val="30"/>
          <w:szCs w:val="30"/>
        </w:rPr>
        <w:t>市</w:t>
      </w:r>
      <w:r>
        <w:rPr>
          <w:rFonts w:hint="eastAsia" w:ascii="仿宋_GB2312" w:eastAsia="仿宋_GB2312"/>
          <w:bCs/>
          <w:sz w:val="30"/>
          <w:szCs w:val="30"/>
        </w:rPr>
        <w:t>文</w:t>
      </w:r>
      <w:r>
        <w:rPr>
          <w:rFonts w:ascii="仿宋_GB2312" w:eastAsia="仿宋_GB2312"/>
          <w:bCs/>
          <w:sz w:val="30"/>
          <w:szCs w:val="30"/>
        </w:rPr>
        <w:t>旅、农旅</w:t>
      </w:r>
      <w:r>
        <w:rPr>
          <w:rFonts w:hint="eastAsia" w:ascii="仿宋_GB2312" w:eastAsia="仿宋_GB2312"/>
          <w:bCs/>
          <w:sz w:val="30"/>
          <w:szCs w:val="30"/>
        </w:rPr>
        <w:t>融合发展</w:t>
      </w:r>
      <w:r>
        <w:rPr>
          <w:rFonts w:ascii="仿宋_GB2312" w:eastAsia="仿宋_GB2312"/>
          <w:bCs/>
          <w:sz w:val="30"/>
          <w:szCs w:val="30"/>
        </w:rPr>
        <w:t>路径研究</w:t>
      </w:r>
    </w:p>
    <w:p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173.</w:t>
      </w:r>
      <w:r>
        <w:rPr>
          <w:rFonts w:ascii="仿宋_GB2312" w:eastAsia="仿宋_GB2312"/>
          <w:bCs/>
          <w:sz w:val="30"/>
          <w:szCs w:val="30"/>
        </w:rPr>
        <w:t>郑州市农村公共文化研究</w:t>
      </w:r>
    </w:p>
    <w:p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174.加快商代王城遗址片区“魅力商都”城市名片打造研究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175.考古前置在文物保护打造营商环境中的重要价值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176.郑州打造汉霸二王城古战场大型实景演出体验园的建议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177.新时期博物馆陈列展览服务社会的研究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178.智媒体时代非物质文化遗产活态传播与创新发展研究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pacing w:val="-6"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179.</w:t>
      </w:r>
      <w:r>
        <w:rPr>
          <w:rFonts w:hint="eastAsia" w:ascii="仿宋_GB2312" w:eastAsia="仿宋_GB2312"/>
          <w:bCs/>
          <w:spacing w:val="-6"/>
          <w:sz w:val="30"/>
          <w:szCs w:val="30"/>
        </w:rPr>
        <w:t>疫情等公共紧急事态下的文化遗产展示与公众服务创新体系研究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180.短视频时代博物馆行业面临的机遇和挑战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181.郑州城址研究</w:t>
      </w:r>
    </w:p>
    <w:p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182.郑州市文博行业文化创意产业发展研究</w:t>
      </w:r>
    </w:p>
    <w:p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183.深入推进美丽乡村建设</w:t>
      </w:r>
    </w:p>
    <w:p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</w:p>
    <w:p>
      <w:pPr>
        <w:adjustRightInd w:val="0"/>
        <w:snapToGrid w:val="0"/>
        <w:spacing w:line="460" w:lineRule="exact"/>
        <w:rPr>
          <w:rFonts w:hint="eastAsia" w:ascii="黑体" w:hAnsi="黑体" w:eastAsia="黑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>社会·治理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184.郑州特大城市实现什么样的发展，如何实现发展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185.推进国家中心城市建设现代化、国际化目标实现</w:t>
      </w:r>
    </w:p>
    <w:p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186.推进空间结构优化，形成现代城市空间格局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187.郑州“十四五”城市创新格局的构建与发展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188.提升中心城市功能，形成极核效应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189.推进市域治理体系和治理能力现代化</w:t>
      </w:r>
    </w:p>
    <w:p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190.实现市域治理现代化的体系构建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191.深化 “一网通办”政务服务改革</w:t>
      </w:r>
    </w:p>
    <w:p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192.建立与国家中心城市治理相适应的</w:t>
      </w:r>
      <w:r>
        <w:rPr>
          <w:rFonts w:ascii="仿宋_GB2312" w:eastAsia="仿宋_GB2312"/>
          <w:bCs/>
          <w:sz w:val="30"/>
          <w:szCs w:val="30"/>
        </w:rPr>
        <w:t>“</w:t>
      </w:r>
      <w:r>
        <w:rPr>
          <w:rFonts w:hint="eastAsia" w:ascii="仿宋_GB2312" w:eastAsia="仿宋_GB2312"/>
          <w:bCs/>
          <w:sz w:val="30"/>
          <w:szCs w:val="30"/>
        </w:rPr>
        <w:t>一网统管</w:t>
      </w:r>
      <w:r>
        <w:rPr>
          <w:rFonts w:ascii="仿宋_GB2312" w:eastAsia="仿宋_GB2312"/>
          <w:bCs/>
          <w:sz w:val="30"/>
          <w:szCs w:val="30"/>
        </w:rPr>
        <w:t>”</w:t>
      </w:r>
      <w:r>
        <w:rPr>
          <w:rFonts w:hint="eastAsia" w:ascii="仿宋_GB2312" w:eastAsia="仿宋_GB2312"/>
          <w:bCs/>
          <w:sz w:val="30"/>
          <w:szCs w:val="30"/>
        </w:rPr>
        <w:t>系统平台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193.推进数字城市建设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194.推进“三项工程、一项管理”，加快城市有机更新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195.加强城市智慧化精细管理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pacing w:val="-6"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196.</w:t>
      </w:r>
      <w:r>
        <w:rPr>
          <w:rFonts w:hint="eastAsia" w:ascii="仿宋_GB2312" w:eastAsia="仿宋_GB2312"/>
          <w:bCs/>
          <w:spacing w:val="-6"/>
          <w:sz w:val="30"/>
          <w:szCs w:val="30"/>
        </w:rPr>
        <w:t>加快构建与特大城市相适应的公共卫生服务保障和应急管理体系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197.大力发展养老服务业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198.健全食品药品监管体制机制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199.加强和创新社会治理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200.健全完善城乡社区管理和服务机制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201.推进市域社会治理现代化</w:t>
      </w:r>
    </w:p>
    <w:p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202.大数据时代提升郑州城市治理能力与水平对策研究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203.城市大脑后数据协同治理机制研究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204.基于</w:t>
      </w:r>
      <w:r>
        <w:rPr>
          <w:rFonts w:ascii="仿宋_GB2312" w:eastAsia="仿宋_GB2312"/>
          <w:bCs/>
          <w:sz w:val="30"/>
          <w:szCs w:val="30"/>
        </w:rPr>
        <w:t>“</w:t>
      </w:r>
      <w:r>
        <w:rPr>
          <w:rFonts w:hint="eastAsia" w:ascii="仿宋_GB2312" w:eastAsia="仿宋_GB2312"/>
          <w:bCs/>
          <w:sz w:val="30"/>
          <w:szCs w:val="30"/>
        </w:rPr>
        <w:t>城市大脑</w:t>
      </w:r>
      <w:r>
        <w:rPr>
          <w:rFonts w:ascii="仿宋_GB2312" w:eastAsia="仿宋_GB2312"/>
          <w:bCs/>
          <w:sz w:val="30"/>
          <w:szCs w:val="30"/>
        </w:rPr>
        <w:t>”</w:t>
      </w:r>
      <w:r>
        <w:rPr>
          <w:rFonts w:hint="eastAsia" w:ascii="仿宋_GB2312" w:eastAsia="仿宋_GB2312"/>
          <w:bCs/>
          <w:sz w:val="30"/>
          <w:szCs w:val="30"/>
        </w:rPr>
        <w:t>的全场景数字化运营城市建设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205.郑州推进政务基础设施一体化建设的实践与对策研究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206.新发展理念下城市大脑运营管理模式探讨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207.依托大数据提升城市治理能力的思路与对策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208.郑州建立健全城乡融合发展体制机制研究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209.郑州健全主体功能区差异化发展机制研究</w:t>
      </w:r>
    </w:p>
    <w:p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210.郑州建立完善绿色发展制度体系研究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211.公园城市建设研究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212.郑州市“十四五”时期基层社会治理中的重要问题研究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213.新时代郑州特大型城基层社会治理格局构建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214.利用大数据提高社会治理现代化水平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215.郑州市老旧小区物业管理融入社区治理路径研究</w:t>
      </w:r>
    </w:p>
    <w:p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216.城市治理标准体系和规范研究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217.新发展理念视域下郑州韧性城市建设研究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218.郑州创新科技成果转化激励和服务机制研究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219.商会建设与作用发挥问题研究</w:t>
      </w:r>
    </w:p>
    <w:p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220.新的社会阶层人士参与基层社会治理路径研究</w:t>
      </w:r>
    </w:p>
    <w:p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221.推动妇女综合素质提升与经济社会同步发展</w:t>
      </w:r>
    </w:p>
    <w:p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222.</w:t>
      </w:r>
      <w:r>
        <w:rPr>
          <w:rFonts w:ascii="仿宋_GB2312" w:eastAsia="仿宋_GB2312"/>
          <w:bCs/>
          <w:sz w:val="30"/>
          <w:szCs w:val="30"/>
        </w:rPr>
        <w:t>郑州市创新乡村治理体系研究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223.高质量建设“美好教育”</w:t>
      </w:r>
    </w:p>
    <w:p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224.推动义务教育优质均衡发展</w:t>
      </w:r>
    </w:p>
    <w:p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225.郑州义务教育资源承载力提升与高质量供给</w:t>
      </w:r>
    </w:p>
    <w:p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226.新时代开展</w:t>
      </w:r>
      <w:r>
        <w:rPr>
          <w:rFonts w:ascii="仿宋_GB2312" w:eastAsia="仿宋_GB2312"/>
          <w:bCs/>
          <w:sz w:val="30"/>
          <w:szCs w:val="30"/>
        </w:rPr>
        <w:fldChar w:fldCharType="begin"/>
      </w:r>
      <w:r>
        <w:rPr>
          <w:rFonts w:ascii="仿宋_GB2312" w:eastAsia="仿宋_GB2312"/>
          <w:bCs/>
          <w:sz w:val="30"/>
          <w:szCs w:val="30"/>
        </w:rPr>
        <w:instrText xml:space="preserve"> HYPERLINK "https://www.so.com/link?m=bm0mNR+E473GU4zZ8DRyTNAxj/bcibfqOGybRhpy+UkrxYVNmLQbnIlD7kW4pOdi4SwZe/qLCVAD4onlz+S8mxXUUYtwgtH5N9MFHenEUJxAPjzGpqaBYT42iSsXEiiOtbsRidbei9BGmb12mmekUYWrBFzLXnKdLs69oXgT5hSS2R0N2l6NnZOw4rog=" \t "https://www.so.com/_blank" </w:instrText>
      </w:r>
      <w:r>
        <w:rPr>
          <w:rFonts w:ascii="仿宋_GB2312" w:eastAsia="仿宋_GB2312"/>
          <w:bCs/>
          <w:sz w:val="30"/>
          <w:szCs w:val="30"/>
        </w:rPr>
        <w:fldChar w:fldCharType="separate"/>
      </w:r>
      <w:r>
        <w:rPr>
          <w:rStyle w:val="7"/>
          <w:rFonts w:hint="eastAsia" w:ascii="仿宋_GB2312" w:eastAsia="仿宋_GB2312"/>
          <w:bCs/>
          <w:color w:val="auto"/>
          <w:sz w:val="30"/>
          <w:szCs w:val="30"/>
          <w:u w:val="none"/>
        </w:rPr>
        <w:t>“五育并举”</w:t>
      </w:r>
      <w:r>
        <w:rPr>
          <w:rFonts w:ascii="仿宋_GB2312" w:eastAsia="仿宋_GB2312"/>
          <w:bCs/>
          <w:sz w:val="30"/>
          <w:szCs w:val="30"/>
        </w:rPr>
        <w:fldChar w:fldCharType="end"/>
      </w:r>
      <w:r>
        <w:rPr>
          <w:rFonts w:hint="eastAsia" w:ascii="仿宋_GB2312" w:eastAsia="仿宋_GB2312"/>
          <w:bCs/>
          <w:sz w:val="30"/>
          <w:szCs w:val="30"/>
        </w:rPr>
        <w:t>的实践研究</w:t>
      </w:r>
    </w:p>
    <w:p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227.区域教育中心建设研究</w:t>
      </w:r>
    </w:p>
    <w:p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228.“学在郑州”实践模式研究</w:t>
      </w:r>
    </w:p>
    <w:p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229.郑州教育国际化水平提升研究</w:t>
      </w:r>
    </w:p>
    <w:p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230.基础教育公共服务能力和水平研究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 w:val="24"/>
        <w:szCs w:val="24"/>
      </w:rPr>
    </w:pPr>
    <w:r>
      <w:rPr>
        <w:rStyle w:val="6"/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rStyle w:val="6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6"/>
        <w:sz w:val="24"/>
        <w:szCs w:val="24"/>
      </w:rPr>
      <w:t>12</w:t>
    </w:r>
    <w:r>
      <w:rPr>
        <w:sz w:val="24"/>
        <w:szCs w:val="24"/>
      </w:rPr>
      <w:fldChar w:fldCharType="end"/>
    </w:r>
    <w:r>
      <w:rPr>
        <w:rStyle w:val="6"/>
        <w:sz w:val="24"/>
        <w:szCs w:val="24"/>
      </w:rPr>
      <w:t xml:space="preserve"> —</w:t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192727"/>
    <w:rsid w:val="5A19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styleId="7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2021-02-08T04:45:00Z</dcterms:created>
  <dc:creator>劉抱抱</dc:creator>
  <cp:lastModifiedBy>劉抱抱</cp:lastModifiedBy>
  <dcterms:modified xsi:type="dcterms:W3CDTF">2021-02-08T04:47:02Z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