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center"/>
        <w:textAlignment w:val="baseline"/>
        <w:rPr>
          <w:rFonts w:hint="eastAsia" w:ascii="黑体" w:hAnsi="黑体" w:eastAsia="黑体" w:cs="黑体"/>
          <w:b/>
          <w:bCs/>
          <w:color w:val="333333"/>
          <w:sz w:val="40"/>
          <w:szCs w:val="40"/>
          <w:shd w:val="clear" w:color="auto" w:fill="FFFFFF"/>
        </w:rPr>
      </w:pPr>
      <w:r>
        <w:rPr>
          <w:rFonts w:hint="eastAsia" w:ascii="黑体" w:hAnsi="黑体" w:eastAsia="黑体" w:cs="黑体"/>
          <w:b/>
          <w:bCs/>
          <w:color w:val="333333"/>
          <w:sz w:val="40"/>
          <w:szCs w:val="40"/>
          <w:shd w:val="clear" w:color="auto" w:fill="FFFFFF"/>
        </w:rPr>
        <w:t>河南省本科高校课程思政教学团队评价标准</w:t>
      </w:r>
    </w:p>
    <w:p>
      <w:pPr>
        <w:pStyle w:val="5"/>
        <w:widowControl/>
        <w:shd w:val="clear" w:color="auto" w:fill="FFFFFF"/>
        <w:spacing w:beforeAutospacing="0" w:afterAutospacing="0"/>
        <w:jc w:val="center"/>
        <w:textAlignment w:val="baseline"/>
        <w:rPr>
          <w:rFonts w:hint="eastAsia" w:ascii="黑体" w:hAnsi="黑体" w:eastAsia="黑体" w:cs="黑体"/>
          <w:b/>
          <w:bCs/>
          <w:color w:val="333333"/>
          <w:sz w:val="40"/>
          <w:szCs w:val="40"/>
          <w:shd w:val="clear" w:color="auto" w:fill="FFFFFF"/>
          <w:lang w:eastAsia="zh-CN"/>
        </w:rPr>
      </w:pPr>
      <w:r>
        <w:rPr>
          <w:rFonts w:hint="eastAsia" w:ascii="黑体" w:hAnsi="黑体" w:eastAsia="黑体" w:cs="黑体"/>
          <w:b/>
          <w:bCs/>
          <w:color w:val="333333"/>
          <w:sz w:val="40"/>
          <w:szCs w:val="40"/>
          <w:shd w:val="clear" w:color="auto" w:fill="FFFFFF"/>
          <w:lang w:eastAsia="zh-CN"/>
        </w:rPr>
        <w:t>（参考标准）</w:t>
      </w:r>
      <w:bookmarkStart w:id="0" w:name="_GoBack"/>
      <w:bookmarkEnd w:id="0"/>
    </w:p>
    <w:tbl>
      <w:tblPr>
        <w:tblStyle w:val="6"/>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579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826" w:type="dxa"/>
            <w:tcBorders>
              <w:top w:val="single" w:color="auto" w:sz="4" w:space="0"/>
            </w:tcBorders>
            <w:vAlign w:val="center"/>
          </w:tcPr>
          <w:p>
            <w:pPr>
              <w:spacing w:line="360" w:lineRule="exact"/>
              <w:jc w:val="center"/>
              <w:rPr>
                <w:rFonts w:ascii="黑体" w:hAnsi="黑体" w:eastAsia="黑体" w:cs="黑体"/>
                <w:bCs/>
                <w:sz w:val="28"/>
                <w:szCs w:val="28"/>
              </w:rPr>
            </w:pPr>
            <w:r>
              <w:rPr>
                <w:rFonts w:hint="eastAsia" w:ascii="黑体" w:hAnsi="黑体" w:eastAsia="黑体" w:cs="黑体"/>
                <w:bCs/>
                <w:sz w:val="28"/>
                <w:szCs w:val="28"/>
              </w:rPr>
              <w:t>指标</w:t>
            </w:r>
          </w:p>
        </w:tc>
        <w:tc>
          <w:tcPr>
            <w:tcW w:w="5790" w:type="dxa"/>
            <w:tcBorders>
              <w:top w:val="single" w:color="auto" w:sz="4" w:space="0"/>
            </w:tcBorders>
            <w:vAlign w:val="center"/>
          </w:tcPr>
          <w:p>
            <w:pPr>
              <w:spacing w:line="360" w:lineRule="exact"/>
              <w:jc w:val="center"/>
              <w:rPr>
                <w:rFonts w:ascii="黑体" w:hAnsi="黑体" w:eastAsia="黑体" w:cs="黑体"/>
                <w:bCs/>
                <w:sz w:val="28"/>
                <w:szCs w:val="28"/>
              </w:rPr>
            </w:pPr>
            <w:r>
              <w:rPr>
                <w:rFonts w:hint="eastAsia" w:ascii="黑体" w:hAnsi="黑体" w:eastAsia="黑体" w:cs="黑体"/>
                <w:bCs/>
                <w:sz w:val="28"/>
                <w:szCs w:val="28"/>
              </w:rPr>
              <w:t>建设标准</w:t>
            </w:r>
          </w:p>
        </w:tc>
        <w:tc>
          <w:tcPr>
            <w:tcW w:w="1144" w:type="dxa"/>
            <w:tcBorders>
              <w:top w:val="single" w:color="auto" w:sz="4" w:space="0"/>
            </w:tcBorders>
            <w:vAlign w:val="center"/>
          </w:tcPr>
          <w:p>
            <w:pPr>
              <w:spacing w:line="360" w:lineRule="exact"/>
              <w:jc w:val="center"/>
              <w:rPr>
                <w:rFonts w:hint="eastAsia" w:ascii="黑体" w:hAnsi="黑体" w:eastAsia="黑体" w:cs="黑体"/>
                <w:bCs/>
                <w:sz w:val="28"/>
                <w:szCs w:val="28"/>
                <w:lang w:eastAsia="zh-CN"/>
              </w:rPr>
            </w:pPr>
            <w:r>
              <w:rPr>
                <w:rFonts w:hint="eastAsia" w:ascii="黑体" w:hAnsi="黑体" w:eastAsia="黑体" w:cs="黑体"/>
                <w:bCs/>
                <w:sz w:val="28"/>
                <w:szCs w:val="28"/>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jc w:val="center"/>
        </w:trPr>
        <w:tc>
          <w:tcPr>
            <w:tcW w:w="1826" w:type="dxa"/>
            <w:vAlign w:val="center"/>
          </w:tcPr>
          <w:p>
            <w:pPr>
              <w:spacing w:line="360" w:lineRule="exact"/>
              <w:rPr>
                <w:rFonts w:ascii="黑体" w:hAnsi="黑体" w:eastAsia="黑体"/>
                <w:bCs/>
                <w:sz w:val="28"/>
                <w:szCs w:val="28"/>
              </w:rPr>
            </w:pPr>
            <w:r>
              <w:rPr>
                <w:rFonts w:hint="eastAsia" w:ascii="黑体" w:hAnsi="黑体" w:eastAsia="黑体"/>
                <w:bCs/>
                <w:sz w:val="28"/>
                <w:szCs w:val="28"/>
              </w:rPr>
              <w:t>1.建设基础</w:t>
            </w:r>
          </w:p>
        </w:tc>
        <w:tc>
          <w:tcPr>
            <w:tcW w:w="5790" w:type="dxa"/>
            <w:vAlign w:val="center"/>
          </w:tcPr>
          <w:p>
            <w:pPr>
              <w:spacing w:line="360" w:lineRule="exact"/>
              <w:ind w:right="160" w:rightChars="50"/>
              <w:jc w:val="both"/>
              <w:rPr>
                <w:rFonts w:ascii="仿宋_GB2312" w:hAnsi="仿宋_GB2312" w:cs="仿宋_GB2312"/>
                <w:bCs/>
                <w:sz w:val="24"/>
                <w:szCs w:val="24"/>
              </w:rPr>
            </w:pPr>
            <w:r>
              <w:rPr>
                <w:rFonts w:hint="eastAsia" w:ascii="仿宋_GB2312" w:hAnsi="仿宋_GB2312" w:cs="仿宋_GB2312"/>
                <w:bCs/>
                <w:sz w:val="24"/>
                <w:szCs w:val="24"/>
              </w:rPr>
              <w:t>团队坚持立德树人，具有良好的师德师风。团队分工明确、规模适度，与教工支部建设紧密结合。负责人具有高级专业技术职务，教学效果优秀，成果突出。鼓励省级以上名师等高层次人才带头开展课程思政建设。</w:t>
            </w:r>
          </w:p>
        </w:tc>
        <w:tc>
          <w:tcPr>
            <w:tcW w:w="1144" w:type="dxa"/>
            <w:vAlign w:val="center"/>
          </w:tcPr>
          <w:p>
            <w:pPr>
              <w:spacing w:line="360" w:lineRule="exact"/>
              <w:jc w:val="center"/>
              <w:rPr>
                <w:rFonts w:ascii="仿宋_GB2312" w:hAnsi="仿宋_GB2312" w:cs="仿宋_GB2312"/>
                <w:bCs/>
                <w:sz w:val="24"/>
                <w:szCs w:val="24"/>
              </w:rPr>
            </w:pPr>
            <w:r>
              <w:rPr>
                <w:rFonts w:hint="eastAsia" w:ascii="仿宋_GB2312" w:hAnsi="仿宋_GB2312" w:cs="仿宋_GB2312"/>
                <w:b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1826" w:type="dxa"/>
            <w:vAlign w:val="center"/>
          </w:tcPr>
          <w:p>
            <w:pPr>
              <w:spacing w:line="360" w:lineRule="exact"/>
              <w:rPr>
                <w:rFonts w:ascii="黑体" w:hAnsi="黑体" w:eastAsia="黑体"/>
                <w:bCs/>
                <w:sz w:val="28"/>
                <w:szCs w:val="28"/>
              </w:rPr>
            </w:pPr>
            <w:r>
              <w:rPr>
                <w:rFonts w:hint="eastAsia" w:ascii="黑体" w:hAnsi="黑体" w:eastAsia="黑体"/>
                <w:bCs/>
                <w:sz w:val="28"/>
                <w:szCs w:val="28"/>
              </w:rPr>
              <w:t>2.结构组成</w:t>
            </w:r>
          </w:p>
        </w:tc>
        <w:tc>
          <w:tcPr>
            <w:tcW w:w="5790" w:type="dxa"/>
            <w:vAlign w:val="center"/>
          </w:tcPr>
          <w:p>
            <w:pPr>
              <w:spacing w:line="360" w:lineRule="exact"/>
              <w:jc w:val="both"/>
              <w:rPr>
                <w:rFonts w:ascii="仿宋_GB2312" w:hAnsi="仿宋_GB2312" w:cs="仿宋_GB2312"/>
                <w:bCs/>
                <w:sz w:val="24"/>
                <w:szCs w:val="24"/>
              </w:rPr>
            </w:pPr>
            <w:r>
              <w:rPr>
                <w:rFonts w:hint="eastAsia" w:ascii="仿宋_GB2312" w:hAnsi="仿宋_GB2312" w:cs="仿宋_GB2312"/>
                <w:bCs/>
                <w:sz w:val="24"/>
                <w:szCs w:val="24"/>
              </w:rPr>
              <w:t>团队有专业课教师和思政教师或辅导员；学历结构、职称结构、知识结构科学合理。老、中、青相结合，可持续发展趋势好。团队建设目标明确，符合课程思政教学发展定位，为成长型课程团队。</w:t>
            </w:r>
          </w:p>
        </w:tc>
        <w:tc>
          <w:tcPr>
            <w:tcW w:w="1144" w:type="dxa"/>
            <w:vAlign w:val="center"/>
          </w:tcPr>
          <w:p>
            <w:pPr>
              <w:spacing w:line="360" w:lineRule="exact"/>
              <w:jc w:val="center"/>
              <w:rPr>
                <w:rFonts w:hint="default" w:ascii="仿宋_GB2312" w:hAnsi="仿宋_GB2312" w:eastAsia="仿宋_GB2312" w:cs="仿宋_GB2312"/>
                <w:bCs/>
                <w:sz w:val="24"/>
                <w:szCs w:val="24"/>
                <w:lang w:val="en-US" w:eastAsia="zh-CN"/>
              </w:rPr>
            </w:pPr>
            <w:r>
              <w:rPr>
                <w:rFonts w:hint="eastAsia" w:ascii="仿宋_GB2312" w:hAnsi="仿宋_GB2312" w:cs="仿宋_GB2312"/>
                <w:bCs/>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9" w:hRule="atLeast"/>
          <w:jc w:val="center"/>
        </w:trPr>
        <w:tc>
          <w:tcPr>
            <w:tcW w:w="1826" w:type="dxa"/>
            <w:vAlign w:val="center"/>
          </w:tcPr>
          <w:p>
            <w:pPr>
              <w:spacing w:line="360" w:lineRule="exact"/>
              <w:rPr>
                <w:rFonts w:ascii="黑体" w:hAnsi="黑体" w:eastAsia="黑体"/>
                <w:bCs/>
                <w:sz w:val="28"/>
                <w:szCs w:val="28"/>
              </w:rPr>
            </w:pPr>
            <w:r>
              <w:rPr>
                <w:rFonts w:hint="eastAsia" w:ascii="黑体" w:hAnsi="黑体" w:eastAsia="黑体"/>
                <w:bCs/>
                <w:sz w:val="28"/>
                <w:szCs w:val="28"/>
              </w:rPr>
              <w:t>3.教学能力</w:t>
            </w:r>
          </w:p>
        </w:tc>
        <w:tc>
          <w:tcPr>
            <w:tcW w:w="5790" w:type="dxa"/>
            <w:vAlign w:val="center"/>
          </w:tcPr>
          <w:p>
            <w:pPr>
              <w:spacing w:line="360" w:lineRule="exact"/>
              <w:jc w:val="both"/>
              <w:rPr>
                <w:rFonts w:ascii="仿宋_GB2312" w:hAnsi="仿宋_GB2312" w:cs="仿宋_GB2312"/>
                <w:bCs/>
                <w:sz w:val="24"/>
                <w:szCs w:val="24"/>
              </w:rPr>
            </w:pPr>
            <w:r>
              <w:rPr>
                <w:rFonts w:hint="eastAsia" w:ascii="仿宋_GB2312" w:hAnsi="仿宋_GB2312" w:cs="仿宋_GB2312"/>
                <w:bCs/>
                <w:sz w:val="24"/>
                <w:szCs w:val="24"/>
              </w:rPr>
              <w:t>熟悉教育教学改革趋势，具有良好的合作精神，具有较高的课程思政教学水平。团队主要成员中主持有校级以上一流课程或精品课程等课程建设项目。充分利用现代化信息技术开展课程思政教学，深入挖掘专业课中的思想政治教育资源，课程思政教学主题鲜明、内容丰富、融入自然。注重开展有关课程思政的学习、交流与研讨，主动承担有关课题研究，提高课程思政意识和能力。</w:t>
            </w:r>
          </w:p>
        </w:tc>
        <w:tc>
          <w:tcPr>
            <w:tcW w:w="1144" w:type="dxa"/>
            <w:vAlign w:val="center"/>
          </w:tcPr>
          <w:p>
            <w:pPr>
              <w:spacing w:line="360" w:lineRule="exact"/>
              <w:jc w:val="center"/>
              <w:rPr>
                <w:rFonts w:hint="default" w:ascii="仿宋_GB2312" w:hAnsi="仿宋_GB2312" w:eastAsia="仿宋_GB2312" w:cs="仿宋_GB2312"/>
                <w:bCs/>
                <w:sz w:val="24"/>
                <w:szCs w:val="24"/>
                <w:lang w:val="en-US" w:eastAsia="zh-CN"/>
              </w:rPr>
            </w:pPr>
            <w:r>
              <w:rPr>
                <w:rFonts w:hint="eastAsia" w:ascii="仿宋_GB2312" w:hAnsi="仿宋_GB2312" w:cs="仿宋_GB2312"/>
                <w:bCs/>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jc w:val="center"/>
        </w:trPr>
        <w:tc>
          <w:tcPr>
            <w:tcW w:w="1826" w:type="dxa"/>
            <w:vAlign w:val="center"/>
          </w:tcPr>
          <w:p>
            <w:pPr>
              <w:spacing w:line="360" w:lineRule="exact"/>
              <w:rPr>
                <w:rFonts w:ascii="黑体" w:hAnsi="黑体" w:eastAsia="黑体"/>
                <w:bCs/>
                <w:sz w:val="28"/>
                <w:szCs w:val="28"/>
              </w:rPr>
            </w:pPr>
            <w:r>
              <w:rPr>
                <w:rFonts w:hint="eastAsia" w:ascii="黑体" w:hAnsi="黑体" w:eastAsia="黑体"/>
                <w:bCs/>
                <w:sz w:val="28"/>
                <w:szCs w:val="28"/>
              </w:rPr>
              <w:t>4.建设成效</w:t>
            </w:r>
          </w:p>
        </w:tc>
        <w:tc>
          <w:tcPr>
            <w:tcW w:w="5790" w:type="dxa"/>
            <w:vAlign w:val="center"/>
          </w:tcPr>
          <w:p>
            <w:pPr>
              <w:spacing w:line="360" w:lineRule="exact"/>
              <w:jc w:val="both"/>
              <w:rPr>
                <w:rFonts w:ascii="仿宋_GB2312" w:hAnsi="仿宋_GB2312" w:cs="仿宋_GB2312"/>
                <w:bCs/>
                <w:sz w:val="24"/>
                <w:szCs w:val="24"/>
              </w:rPr>
            </w:pPr>
            <w:r>
              <w:rPr>
                <w:rFonts w:hint="eastAsia" w:ascii="仿宋_GB2312" w:hAnsi="仿宋_GB2312" w:cs="仿宋_GB2312"/>
                <w:bCs/>
                <w:sz w:val="24"/>
                <w:szCs w:val="24"/>
              </w:rPr>
              <w:t>团队获得过校级以上教学成果奖励，注重教研成果应用，并起到辐射带动作用。主持有校级以上课程思政类教学改革研究项目，构建多层次的课程思政研究体系，对课程思政重点、难点、前瞻性等问题有一定的研究。</w:t>
            </w:r>
          </w:p>
        </w:tc>
        <w:tc>
          <w:tcPr>
            <w:tcW w:w="1144" w:type="dxa"/>
            <w:vAlign w:val="center"/>
          </w:tcPr>
          <w:p>
            <w:pPr>
              <w:spacing w:line="360" w:lineRule="exact"/>
              <w:jc w:val="center"/>
              <w:rPr>
                <w:rFonts w:hint="default" w:ascii="仿宋_GB2312" w:hAnsi="仿宋_GB2312" w:eastAsia="仿宋_GB2312" w:cs="仿宋_GB2312"/>
                <w:bCs/>
                <w:sz w:val="24"/>
                <w:szCs w:val="24"/>
                <w:lang w:val="en-US" w:eastAsia="zh-CN"/>
              </w:rPr>
            </w:pPr>
            <w:r>
              <w:rPr>
                <w:rFonts w:hint="eastAsia" w:ascii="仿宋_GB2312" w:hAnsi="仿宋_GB2312" w:cs="仿宋_GB2312"/>
                <w:bCs/>
                <w:sz w:val="24"/>
                <w:szCs w:val="24"/>
                <w:lang w:val="en-US" w:eastAsia="zh-CN"/>
              </w:rPr>
              <w:t>30</w:t>
            </w:r>
          </w:p>
        </w:tc>
      </w:tr>
    </w:tbl>
    <w:p>
      <w:pPr>
        <w:jc w:val="center"/>
      </w:pPr>
    </w:p>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1A8D"/>
    <w:rsid w:val="00127135"/>
    <w:rsid w:val="00173C25"/>
    <w:rsid w:val="001763AD"/>
    <w:rsid w:val="00281A8D"/>
    <w:rsid w:val="003F4C96"/>
    <w:rsid w:val="00784B15"/>
    <w:rsid w:val="008A6769"/>
    <w:rsid w:val="00A3340B"/>
    <w:rsid w:val="00BC2887"/>
    <w:rsid w:val="00F7445C"/>
    <w:rsid w:val="16B2502C"/>
    <w:rsid w:val="2E652EEB"/>
    <w:rsid w:val="50F871CA"/>
    <w:rsid w:val="595C383B"/>
    <w:rsid w:val="719F31BA"/>
    <w:rsid w:val="75411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0"/>
    <w:semiHidden/>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line="240" w:lineRule="auto"/>
    </w:pPr>
    <w:rPr>
      <w:rFonts w:asciiTheme="minorHAnsi" w:hAnsiTheme="minorHAnsi" w:eastAsiaTheme="minorEastAsia"/>
      <w:kern w:val="0"/>
      <w:sz w:val="24"/>
      <w:szCs w:val="24"/>
    </w:rPr>
  </w:style>
  <w:style w:type="character" w:customStyle="1" w:styleId="8">
    <w:name w:val="批注框文本 Char"/>
    <w:basedOn w:val="7"/>
    <w:link w:val="2"/>
    <w:semiHidden/>
    <w:qFormat/>
    <w:uiPriority w:val="99"/>
    <w:rPr>
      <w:rFonts w:ascii="Calibri" w:hAnsi="Calibri" w:eastAsia="仿宋_GB2312" w:cs="Times New Roman"/>
      <w:sz w:val="18"/>
      <w:szCs w:val="18"/>
    </w:rPr>
  </w:style>
  <w:style w:type="character" w:customStyle="1" w:styleId="9">
    <w:name w:val="页眉 Char"/>
    <w:basedOn w:val="7"/>
    <w:link w:val="4"/>
    <w:semiHidden/>
    <w:qFormat/>
    <w:uiPriority w:val="99"/>
    <w:rPr>
      <w:rFonts w:ascii="Calibri" w:hAnsi="Calibri" w:eastAsia="仿宋_GB2312" w:cs="Times New Roman"/>
      <w:kern w:val="2"/>
      <w:sz w:val="18"/>
      <w:szCs w:val="18"/>
    </w:rPr>
  </w:style>
  <w:style w:type="character" w:customStyle="1" w:styleId="10">
    <w:name w:val="页脚 Char"/>
    <w:basedOn w:val="7"/>
    <w:link w:val="3"/>
    <w:semiHidden/>
    <w:qFormat/>
    <w:uiPriority w:val="99"/>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78</Words>
  <Characters>448</Characters>
  <Lines>3</Lines>
  <Paragraphs>1</Paragraphs>
  <TotalTime>23</TotalTime>
  <ScaleCrop>false</ScaleCrop>
  <LinksUpToDate>false</LinksUpToDate>
  <CharactersWithSpaces>525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2020-10-23T03:12:00Z</dcterms:created>
  <dc:creator>小 二</dc:creator>
  <cp:lastModifiedBy>赵万勇</cp:lastModifiedBy>
  <cp:lastPrinted>2020-10-28T09:27:00Z</cp:lastPrinted>
  <dcterms:modified xsi:type="dcterms:W3CDTF">2020-11-03T03:28:43Z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