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附件1</w:t>
      </w:r>
    </w:p>
    <w:p>
      <w:pPr>
        <w:pStyle w:val="3"/>
        <w:widowControl w:val="0"/>
        <w:spacing w:before="0" w:beforeAutospacing="0" w:after="0" w:afterAutospacing="0"/>
        <w:jc w:val="both"/>
        <w:rPr>
          <w:rFonts w:ascii="黑体" w:eastAsia="黑体" w:cs="黑体"/>
          <w:sz w:val="30"/>
          <w:szCs w:val="30"/>
        </w:rPr>
      </w:pPr>
    </w:p>
    <w:p>
      <w:pPr>
        <w:widowControl/>
        <w:snapToGrid w:val="0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河南省教育科学规划</w:t>
      </w:r>
    </w:p>
    <w:p>
      <w:pPr>
        <w:widowControl/>
        <w:snapToGrid w:val="0"/>
        <w:jc w:val="center"/>
        <w:rPr>
          <w:rFonts w:ascii="方正小标宋简体" w:hAnsi="黑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hAnsi="黑体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年度教育援疆专项课题指南</w:t>
      </w:r>
    </w:p>
    <w:p>
      <w:pPr>
        <w:ind w:firstLine="600" w:firstLineChars="200"/>
        <w:rPr>
          <w:rFonts w:hint="eastAsia" w:ascii="仿宋_GB2312" w:hAnsi="黑体" w:eastAsia="仿宋_GB2312" w:cs="方正小标宋简体"/>
          <w:kern w:val="0"/>
          <w:sz w:val="30"/>
          <w:szCs w:val="30"/>
        </w:rPr>
      </w:pP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一、综合类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1.新时代教育援疆方式与效能研究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2.新时代教育援疆教师队伍建设研究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3.河南与新疆的教育教学差异研究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4.针对学情差异有效落实课程标准要求的研究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5.在学校中开展民族团结教育的研究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6.在教育教学中推广国家通用语言文字的研究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7.“互联网+”在教育援疆工作中的应用研究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8.中小学教育教学应对疫情防控策略研究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9.在学校中开展劳动教育的研究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二、德育与思政课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1.新形势下提升思政课教育效能的研究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2.思想品德（思想政治）课程标准研究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3.受援地道德与法治（思想政治）课程资源开发研究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4.道德与法治（思想政治）课程实施问题与对策研究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5.道德与法治（思想政治）教学/学习方式转变研究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6.中华优秀传统文化（兵团精神）融入中小学德育课程策略研究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7.职业学校或中学、小学法治教育研究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8.运用信息技术手段有效实施道德与法治（思想政治）课堂教学的研究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9.道德与法治课程（思想政治）与学校德育活动有效整合研究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10.新冠肺炎疫情下德育教学研究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三、语文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1.语文教学落实立德树人根本任务的理论与实践研究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2.基于学科核心素养的语文课堂教学研究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3.语文课程标准的解读与落实研究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4.语文阅读教学的理论与实践研究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5.语文习作教学的理论与实践研究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6.小学、初中和高中衔接的语文知识与能力研究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7.国家通用语言文字的口语交际教学研究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8.基于新疆区情（兵团实际）的语文综合性学习研究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9.教育援疆过程中的语文教学典型课例研究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四、数学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1.基于新课标的中学数学教学问题与对策研究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2.基于受援地学情优化数学教学方式的策略研究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3.发展学生数学学科核心素养的方法与途径研究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4.中学数学的数学建模（探究）活动的实践研究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5.在数学教学中渗透数学文化教育的实践研究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6.数学教学与信息技术深度融合的实践研究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7.小学、初中、高中数学衔接教学实验研究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8.教育援疆过程中的数学教学典型案例研究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五、英语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1.英语课程标准的解读和落实研究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2.根据受援地学情优化英语教学方式的策略研究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3.在英语教学中培养学生持久阅读兴趣的研究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4.以语篇教学促进学生语言意识发展的研究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5.以语篇教学培养学生自主阅读习惯的研究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6.依托语篇教学提高学生词汇学习能力的研究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7.读写结合提升学生写作能力的研究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8.在英语教学中提升学生听说能力的实践研究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9.在英语教学中促进学生讲好新疆发展（兵团建设）好故事能力的研究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六、历史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1.在历史课堂教学中落实立德树人的案例研究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2.历史课程标准（高中2017年版、初中2011年版）的解读及落实研究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3.国家统编初中历史新教材的课堂教学应用研究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4.发展学生历史学科核心素养的方法和途径研究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5.受援地的历史课程资源开发研究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6.中学生历史材料阅读能力的现状及提升策略研究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7.高中学生发现历史问题能力的现状及对策研究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8.援疆过程中历史课堂教学典型课例研究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七、地理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1.在地理课堂教学中落实立德树人的案例研究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2.地理课程标准（高中2017年版、初中2011年版）的解读及落实研究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3.基于地理学科核心素养的教学实践研究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4.基于信息技术和虚拟现实技术的地理教学实践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5.基于新疆地域文化的地理教学资源开发研究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6.地理综合思维素养培养的实践研究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7.人地协调观素养培养的实践研究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8.项目式学习在中学地理教学中的应用研究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9.援疆过程中地理课堂教学典型课例研究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八、物理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1.中学物理课程标准（高中2017年版、初中2011年版）的解读及落实研究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2.物理学科核心素养分析与培养研究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3.基于学科核心素养的课堂教学目标的构建及实施研究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4.基于学科核心素养的物理学习策略研究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5.物理实验教学创新研究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6.物理课程资源的开发与实施研究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7.初、高中物理衔接教学研究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8.现代教育技术与物理教学整合的研究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九、化学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1.中学化学课程标准（高中2017年版、初中2011年版）的解读及落实研究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2.化学数字化实验教学案例及应用效果评价研究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3.项目式学习在化学学科中的应用研究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4.核心素养导向的高中化学课堂教学改革研究</w:t>
      </w:r>
    </w:p>
    <w:p>
      <w:pPr>
        <w:tabs>
          <w:tab w:val="left" w:pos="312"/>
        </w:tabs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5.实验新技术教学实施案例及应用效果评价研究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6.基于化学课程标准的化学教学设计研究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7.初高中化学教学衔接问题的研究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8.中学生化学学习兴趣培养的调查研究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9.“化学、技术、社会与环境”相互关系的研究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十、生物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1.中学生物课程标准（高中2017年版、初中2011年版）的解读及落实研究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2.发展学生生物学科核心素养的方法与途径研究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3.基于生物学核心素养的教学活动设计与实践研究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4.新课改背景下生物学课堂教学有效性研究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5.初高中生物学教学衔接问题的研究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6.生物学实验与探究性活动教学策略研究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7.现代教育技术与生物学教学深度融合的实践研究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8.教育援疆过程中的生物学教学典型课例研究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9.与现实生活相联系的生物学教学实践研究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十一、体育、音乐、美术、书法、通用技术、信息技术、科学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1.学科（以上所列学科，下同）课程标准（或方案）的解读及落实研究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2.学科教学促进学生全面发展的作用研究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3.新课程背景下的学科课堂教学变革行动研究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4.基于学情培养学生学科学习兴趣的行动研究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5.开发受援地学科课程资源的行动研究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6.教育援疆过程中学科教学典型课例研究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7.“互联网+”促进学科教学发展的行动研究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8.学科教学评价机制研究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9.学科间相互协作共同促进学校育人工作发展的行动研究</w:t>
      </w:r>
    </w:p>
    <w:p>
      <w:pPr>
        <w:ind w:firstLine="600" w:firstLineChars="200"/>
        <w:rPr>
          <w:rFonts w:hint="eastAsia"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十二、职业教育、高等教育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1.基于铸魂育人理念的高职院校课程思政教学模式探索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2.医教协同视阈下地方高职院校全程育人模式的实践研究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3.面向区域产业升级发展的应用技术型人才培养模式研究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4.基于大数据的学生探究意识诊断研究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5.民族地区旅游管理人才培养差异性及对策研究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6.团队复苏工作坊在少数民族地区专科护生《急危重症护理学》实践教学的应用研究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7.新疆地区民族聚居区社会空间分异与演变研究</w:t>
      </w:r>
    </w:p>
    <w:p>
      <w:pPr>
        <w:ind w:firstLine="600" w:firstLineChars="2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8.团体拓展课程对促进民族地区职院学生心理健康的作用实证研究</w:t>
      </w:r>
    </w:p>
    <w:p>
      <w:pPr>
        <w:ind w:firstLine="600" w:firstLineChars="200"/>
      </w:pPr>
      <w:r>
        <w:rPr>
          <w:rFonts w:hint="eastAsia" w:ascii="仿宋_GB2312" w:hAnsi="仿宋" w:eastAsia="仿宋_GB2312" w:cs="仿宋"/>
          <w:sz w:val="30"/>
          <w:szCs w:val="30"/>
        </w:rPr>
        <w:t>9.德育视域下民族地区幼师生岗前培训课程体系的构建研究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442C6"/>
    <w:rsid w:val="57731520"/>
    <w:rsid w:val="7C24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2020-04-30T08:45:00Z</dcterms:created>
  <dc:creator>DELL</dc:creator>
  <cp:lastModifiedBy>DELL</cp:lastModifiedBy>
  <dcterms:modified xsi:type="dcterms:W3CDTF">2020-04-30T08:45:43Z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