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仿宋" w:eastAsia="黑体"/>
        </w:rPr>
      </w:pPr>
      <w:r>
        <w:rPr>
          <w:rFonts w:hint="eastAsia" w:ascii="黑体" w:hAnsi="仿宋" w:eastAsia="黑体"/>
        </w:rPr>
        <w:t>附件3</w:t>
      </w:r>
    </w:p>
    <w:p>
      <w:pPr>
        <w:rPr>
          <w:rFonts w:hint="eastAsia" w:ascii="黑体" w:hAnsi="仿宋" w:eastAsia="黑体"/>
        </w:rPr>
      </w:pP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河南省高等教育教学成果奖励推荐等级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 考 指 标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3304"/>
        <w:gridCol w:w="4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奖励等级</w:t>
            </w:r>
          </w:p>
        </w:tc>
        <w:tc>
          <w:tcPr>
            <w:tcW w:w="33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主要特征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参考量化指标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exac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省级教学成果特等奖</w:t>
            </w:r>
          </w:p>
        </w:tc>
        <w:tc>
          <w:tcPr>
            <w:tcW w:w="3304" w:type="dxa"/>
            <w:noWrap w:val="0"/>
            <w:vAlign w:val="center"/>
          </w:tcPr>
          <w:p>
            <w:pPr>
              <w:snapToGrid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国内或省内首创，达到国内先进水平，在教育教学改革方面取得重大突破，对提高教学质量、实现培养目标有突出贡献，具有重大应用推广价值。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snapToGrid w:val="0"/>
              <w:ind w:left="250" w:hanging="240" w:hangingChars="10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1.成果除本校外2个省份以上的学校教学实践应用；</w:t>
            </w:r>
          </w:p>
          <w:p>
            <w:pPr>
              <w:snapToGrid w:val="0"/>
              <w:ind w:left="250" w:hanging="240" w:hangingChars="10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2.成果具有国家“教学质量工程”项目支撑并能充分体现或在国家级新闻媒体上报道；</w:t>
            </w:r>
          </w:p>
          <w:p>
            <w:pPr>
              <w:snapToGrid w:val="0"/>
              <w:ind w:left="250" w:hanging="240" w:hangingChars="10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3.成果相关教育教学论文发表在CSSCI目录期刊2篇以上。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exac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省级教学成果一等奖</w:t>
            </w:r>
          </w:p>
        </w:tc>
        <w:tc>
          <w:tcPr>
            <w:tcW w:w="3304" w:type="dxa"/>
            <w:noWrap w:val="0"/>
            <w:vAlign w:val="center"/>
          </w:tcPr>
          <w:p>
            <w:pPr>
              <w:snapToGrid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在已有成果基础上部分首创，在教育教学改革方面迈出重大步伐，达到省内领先水平，并取得较大的人才培养效益，具有较大应用推广价值。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snapToGrid w:val="0"/>
              <w:ind w:left="250" w:hanging="240" w:hangingChars="10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1.成果除本校外2所学校教学实践应用；</w:t>
            </w:r>
          </w:p>
          <w:p>
            <w:pPr>
              <w:snapToGrid w:val="0"/>
              <w:ind w:left="250" w:hanging="240" w:hangingChars="10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2.成果具有省级及以上“教学质量工程”项目支撑并能充分体现或在省级及以上新闻媒体上报道；</w:t>
            </w:r>
          </w:p>
          <w:p>
            <w:pPr>
              <w:snapToGrid w:val="0"/>
              <w:ind w:left="250" w:hanging="240" w:hangingChars="10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3.成果相关教育教学论文发表在CSSCI目录期刊1篇以上。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exact"/>
          <w:jc w:val="center"/>
        </w:trPr>
        <w:tc>
          <w:tcPr>
            <w:tcW w:w="173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省级教学成果二等奖</w:t>
            </w:r>
          </w:p>
        </w:tc>
        <w:tc>
          <w:tcPr>
            <w:tcW w:w="3304" w:type="dxa"/>
            <w:noWrap w:val="0"/>
            <w:vAlign w:val="center"/>
          </w:tcPr>
          <w:p>
            <w:pPr>
              <w:snapToGrid w:val="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在运用已有成果的过程中有创新和发展，达到省内先进水平，并取得显著的人才培养效益，具有推广应用价值，可获得省级教学成果二等奖。</w:t>
            </w:r>
          </w:p>
        </w:tc>
        <w:tc>
          <w:tcPr>
            <w:tcW w:w="4005" w:type="dxa"/>
            <w:noWrap w:val="0"/>
            <w:vAlign w:val="center"/>
          </w:tcPr>
          <w:p>
            <w:pPr>
              <w:snapToGrid w:val="0"/>
              <w:ind w:left="250" w:hanging="240" w:hangingChars="10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1.成果除本校外有学校教学实践应用；</w:t>
            </w:r>
          </w:p>
          <w:p>
            <w:pPr>
              <w:snapToGrid w:val="0"/>
              <w:ind w:left="250" w:hanging="240" w:hangingChars="10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2.成果相关教学论文发表在CN期刊2篇以上。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31ED5"/>
    <w:rsid w:val="4733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2019-12-20T08:19:00Z</dcterms:created>
  <dc:creator>郑州工商郝艳</dc:creator>
  <cp:lastModifiedBy>郑州工商郝艳</cp:lastModifiedBy>
  <dcterms:modified xsi:type="dcterms:W3CDTF">2019-12-20T08:19:26Z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