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宋体"/>
          <w:kern w:val="0"/>
        </w:rPr>
      </w:pPr>
      <w:r>
        <w:rPr>
          <w:rFonts w:hint="eastAsia" w:ascii="黑体" w:hAnsi="黑体" w:eastAsia="黑体" w:cs="宋体"/>
          <w:kern w:val="0"/>
        </w:rPr>
        <w:t>附件2</w:t>
      </w:r>
    </w:p>
    <w:p>
      <w:pPr>
        <w:jc w:val="left"/>
        <w:rPr>
          <w:rFonts w:hint="eastAsia" w:ascii="黑体" w:hAnsi="黑体" w:eastAsia="黑体" w:cs="宋体"/>
          <w:kern w:val="0"/>
        </w:rPr>
      </w:pPr>
      <w:r>
        <w:rPr>
          <w:rFonts w:hint="eastAsia" w:ascii="黑体" w:hAnsi="黑体" w:eastAsia="黑体" w:cs="宋体"/>
          <w:kern w:val="0"/>
        </w:rPr>
        <w:t xml:space="preserve"> </w:t>
      </w:r>
    </w:p>
    <w:p>
      <w:pPr>
        <w:snapToGrid w:val="0"/>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第三届全国高校网络教育优秀作品</w:t>
      </w:r>
    </w:p>
    <w:p>
      <w:pPr>
        <w:snapToGrid w:val="0"/>
        <w:jc w:val="center"/>
        <w:rPr>
          <w:rFonts w:hint="eastAsia"/>
          <w:color w:val="000000"/>
          <w:sz w:val="44"/>
          <w:szCs w:val="44"/>
        </w:rPr>
      </w:pPr>
      <w:r>
        <w:rPr>
          <w:rFonts w:hint="eastAsia" w:ascii="方正小标宋简体" w:eastAsia="方正小标宋简体"/>
          <w:color w:val="000000"/>
          <w:sz w:val="44"/>
          <w:szCs w:val="44"/>
        </w:rPr>
        <w:t>推选展示活动工作方案</w:t>
      </w:r>
    </w:p>
    <w:p>
      <w:pPr>
        <w:rPr>
          <w:rFonts w:ascii="仿宋_GB2312" w:hAnsi="仿宋"/>
          <w:color w:val="000000"/>
        </w:rPr>
      </w:pPr>
      <w:r>
        <w:rPr>
          <w:rFonts w:hint="eastAsia" w:ascii="仿宋_GB2312" w:hAnsi="仿宋"/>
          <w:color w:val="000000"/>
        </w:rPr>
        <w:t xml:space="preserve"> </w:t>
      </w:r>
    </w:p>
    <w:p>
      <w:pPr>
        <w:ind w:firstLine="600" w:firstLineChars="200"/>
        <w:rPr>
          <w:rFonts w:hint="eastAsia" w:ascii="黑体" w:hAnsi="仿宋" w:eastAsia="黑体"/>
          <w:color w:val="000000"/>
        </w:rPr>
      </w:pPr>
      <w:r>
        <w:rPr>
          <w:rFonts w:hint="eastAsia" w:ascii="黑体" w:hAnsi="黑体" w:eastAsia="黑体"/>
          <w:color w:val="000000"/>
        </w:rPr>
        <w:t>一、目的意义</w:t>
      </w:r>
    </w:p>
    <w:p>
      <w:pPr>
        <w:ind w:firstLine="576" w:firstLineChars="200"/>
        <w:rPr>
          <w:rFonts w:hint="eastAsia" w:ascii="仿宋_GB2312" w:hAnsi="仿宋" w:cs="宋体"/>
          <w:color w:val="000000"/>
          <w:spacing w:val="-6"/>
          <w:kern w:val="0"/>
        </w:rPr>
      </w:pPr>
      <w:r>
        <w:rPr>
          <w:rFonts w:hint="eastAsia" w:ascii="仿宋_GB2312" w:hAnsi="仿宋" w:cs="宋体"/>
          <w:color w:val="000000"/>
          <w:spacing w:val="-6"/>
          <w:kern w:val="0"/>
        </w:rPr>
        <w:t>以习近平新时代中国特色社会主义思想为指导，以全面贯彻落实党的十九大精神为主线，进一步把全国网信工作会议和全国高校思想政治工作会议精神贯彻落实引向深入，创新网络思想政治教育，推动思想政治工作联网上线，推出一批反映新时代高校网络教育的先进经验、典型案例、优秀作品，充分发挥其示范引领和模范带动作用，推进校园网络文化建设，构建网上网下同心圆。</w:t>
      </w:r>
    </w:p>
    <w:p>
      <w:pPr>
        <w:ind w:firstLine="600" w:firstLineChars="200"/>
        <w:rPr>
          <w:rFonts w:hint="eastAsia" w:ascii="黑体" w:hAnsi="Times New Roman" w:eastAsia="黑体"/>
        </w:rPr>
      </w:pPr>
      <w:r>
        <w:rPr>
          <w:rFonts w:hint="eastAsia" w:ascii="黑体" w:hAnsi="黑体" w:eastAsia="黑体"/>
        </w:rPr>
        <w:t>二、活动主题</w:t>
      </w:r>
    </w:p>
    <w:p>
      <w:pPr>
        <w:ind w:firstLine="600" w:firstLineChars="200"/>
        <w:rPr>
          <w:rFonts w:hint="eastAsia" w:ascii="仿宋_GB2312" w:hAnsi="仿宋" w:cs="宋体"/>
          <w:color w:val="000000"/>
          <w:kern w:val="0"/>
        </w:rPr>
      </w:pPr>
      <w:r>
        <w:rPr>
          <w:rFonts w:hint="eastAsia" w:ascii="仿宋_GB2312" w:hAnsi="仿宋" w:cs="宋体"/>
          <w:color w:val="000000"/>
          <w:kern w:val="0"/>
        </w:rPr>
        <w:t>加强网络素养教育，发挥网络育人功能。</w:t>
      </w:r>
    </w:p>
    <w:p>
      <w:pPr>
        <w:ind w:firstLine="600" w:firstLineChars="200"/>
        <w:rPr>
          <w:rFonts w:hint="eastAsia" w:ascii="黑体" w:hAnsi="Times New Roman" w:eastAsia="黑体"/>
        </w:rPr>
      </w:pPr>
      <w:r>
        <w:rPr>
          <w:rFonts w:hint="eastAsia" w:ascii="黑体" w:hAnsi="黑体" w:eastAsia="黑体"/>
        </w:rPr>
        <w:t>三、活动对象</w:t>
      </w:r>
    </w:p>
    <w:p>
      <w:pPr>
        <w:ind w:firstLine="600" w:firstLineChars="200"/>
        <w:rPr>
          <w:rFonts w:hint="eastAsia" w:ascii="仿宋_GB2312" w:hAnsi="仿宋" w:cs="宋体"/>
          <w:color w:val="000000"/>
          <w:kern w:val="0"/>
        </w:rPr>
      </w:pPr>
      <w:r>
        <w:rPr>
          <w:rFonts w:hint="eastAsia" w:ascii="仿宋_GB2312" w:hAnsi="仿宋" w:cs="宋体"/>
          <w:color w:val="000000"/>
          <w:kern w:val="0"/>
        </w:rPr>
        <w:t>高校思想政治工作干部、党务工作干部或从事相关领域理论研究和实践工作的专业教师均可自愿免费参加。</w:t>
      </w:r>
    </w:p>
    <w:p>
      <w:pPr>
        <w:numPr>
          <w:ilvl w:val="0"/>
          <w:numId w:val="1"/>
        </w:numPr>
        <w:ind w:firstLine="600" w:firstLineChars="200"/>
        <w:rPr>
          <w:rFonts w:hint="eastAsia" w:ascii="黑体" w:hAnsi="黑体" w:eastAsia="黑体"/>
        </w:rPr>
      </w:pPr>
      <w:r>
        <w:rPr>
          <w:rFonts w:hint="eastAsia" w:ascii="黑体" w:hAnsi="黑体" w:eastAsia="黑体"/>
        </w:rPr>
        <w:t>作品征集</w:t>
      </w:r>
    </w:p>
    <w:p>
      <w:pPr>
        <w:numPr>
          <w:numId w:val="0"/>
        </w:numPr>
        <w:ind w:firstLine="600" w:firstLineChars="200"/>
        <w:rPr>
          <w:rFonts w:hint="eastAsia" w:ascii="仿宋_GB2312" w:hAnsi="Times New Roman"/>
        </w:rPr>
      </w:pPr>
      <w:r>
        <w:rPr>
          <w:rFonts w:hint="eastAsia" w:ascii="仿宋_GB2312" w:hAnsi="仿宋" w:eastAsia="仿宋_GB2312" w:cs="宋体"/>
          <w:color w:val="000000"/>
          <w:kern w:val="0"/>
          <w:sz w:val="30"/>
          <w:szCs w:val="30"/>
          <w:lang w:val="en-US" w:eastAsia="zh-CN" w:bidi="ar-SA"/>
        </w:rPr>
        <w:t xml:space="preserve">本次活动征集优秀网络文章、优秀“微”作品、优秀工作案例三类作品。所有作品须为2017年8月1日至活动提交截止日期间创作的作品。作品征集时间为2018年7月25日至2018年9月15日。 </w:t>
      </w:r>
    </w:p>
    <w:p>
      <w:pPr>
        <w:ind w:firstLine="600" w:firstLineChars="200"/>
        <w:rPr>
          <w:rFonts w:hint="eastAsia" w:ascii="楷体_GB2312" w:hAnsi="Times New Roman" w:eastAsia="楷体_GB2312"/>
        </w:rPr>
      </w:pPr>
      <w:r>
        <w:rPr>
          <w:rFonts w:hint="eastAsia" w:ascii="楷体_GB2312" w:hAnsi="Times New Roman" w:eastAsia="楷体_GB2312"/>
        </w:rPr>
        <w:t>（一）优秀网络文章</w:t>
      </w:r>
    </w:p>
    <w:p>
      <w:pPr>
        <w:ind w:firstLine="600" w:firstLineChars="200"/>
        <w:rPr>
          <w:rFonts w:hint="eastAsia" w:ascii="仿宋_GB2312" w:hAnsi="仿宋" w:cs="宋体"/>
          <w:color w:val="000000"/>
          <w:kern w:val="0"/>
        </w:rPr>
      </w:pPr>
      <w:r>
        <w:rPr>
          <w:rFonts w:hint="eastAsia" w:ascii="仿宋_GB2312" w:hAnsi="仿宋" w:cs="宋体"/>
          <w:color w:val="000000"/>
          <w:kern w:val="0"/>
        </w:rPr>
        <w:t>优秀网络文章包括学术论文、时政博文、文学作品、精要评论等，要体现价值引导、思想引领，内容观点正确、立场鲜明，紧扣高校网络教育的重点难点问题，以文化人、以文育人、以理服人、以情感人,对广大师生网民有较强的吸引力、感染力，鼓励网络首发，有较高的转发、评论和引用量。每件作品作者限</w:t>
      </w:r>
      <w:r>
        <w:rPr>
          <w:rFonts w:hint="eastAsia" w:ascii="仿宋_GB2312" w:hAnsi="Times New Roman"/>
          <w:color w:val="000000"/>
          <w:kern w:val="0"/>
        </w:rPr>
        <w:t>1</w:t>
      </w:r>
      <w:r>
        <w:rPr>
          <w:rFonts w:hint="eastAsia" w:ascii="仿宋_GB2312" w:hAnsi="仿宋" w:cs="宋体"/>
          <w:color w:val="000000"/>
          <w:kern w:val="0"/>
        </w:rPr>
        <w:t>人，且必须为网络文章第一作者。</w:t>
      </w:r>
    </w:p>
    <w:p>
      <w:pPr>
        <w:ind w:firstLine="600" w:firstLineChars="200"/>
        <w:rPr>
          <w:rFonts w:hint="eastAsia" w:ascii="楷体_GB2312" w:hAnsi="Times New Roman" w:eastAsia="楷体_GB2312"/>
        </w:rPr>
      </w:pPr>
      <w:r>
        <w:rPr>
          <w:rFonts w:hint="eastAsia" w:ascii="楷体_GB2312" w:hAnsi="Times New Roman" w:eastAsia="楷体_GB2312"/>
        </w:rPr>
        <w:t>（二）优秀“微”作品</w:t>
      </w:r>
    </w:p>
    <w:p>
      <w:pPr>
        <w:ind w:firstLine="600" w:firstLineChars="200"/>
        <w:rPr>
          <w:rFonts w:hint="eastAsia" w:ascii="仿宋_GB2312" w:hAnsi="仿宋" w:cs="宋体"/>
          <w:color w:val="000000"/>
          <w:kern w:val="0"/>
        </w:rPr>
      </w:pPr>
      <w:r>
        <w:rPr>
          <w:rFonts w:hint="eastAsia" w:ascii="仿宋_GB2312" w:hAnsi="仿宋" w:cs="宋体"/>
          <w:color w:val="000000"/>
          <w:kern w:val="0"/>
        </w:rPr>
        <w:t>优秀“微”作品分为三种。一是高校在开展思想政治工作过程中制作的新媒体作品，包括短视频、微电影、微公益广告、</w:t>
      </w:r>
      <w:r>
        <w:rPr>
          <w:rFonts w:hint="eastAsia" w:ascii="仿宋_GB2312" w:hAnsi="Times New Roman"/>
          <w:color w:val="000000"/>
          <w:kern w:val="0"/>
        </w:rPr>
        <w:t>H5</w:t>
      </w:r>
      <w:r>
        <w:rPr>
          <w:rFonts w:hint="eastAsia" w:ascii="仿宋_GB2312" w:hAnsi="仿宋" w:cs="宋体"/>
          <w:color w:val="000000"/>
          <w:kern w:val="0"/>
        </w:rPr>
        <w:t>作品、图解、长图及动图等新媒体作品。二是高校思想政治教育类微课，包括课程、科研、实践、文化、网络、心理、管理、服务、资助、组织等“十大育人”体系相关微课或系列微课。三是宣传高校思想政治工作及弘扬中华优秀传统文化等相关音频作品。以主旋律题材为主，体裁不限，主要包括经典诵读、谈心谈话、时政解读、思政讲坛、文化讲坛、诗词朗诵等。</w:t>
      </w:r>
    </w:p>
    <w:p>
      <w:pPr>
        <w:ind w:firstLine="600" w:firstLineChars="200"/>
        <w:rPr>
          <w:rFonts w:hint="eastAsia" w:ascii="仿宋_GB2312" w:hAnsi="仿宋" w:cs="宋体"/>
          <w:color w:val="000000"/>
          <w:kern w:val="0"/>
        </w:rPr>
      </w:pPr>
      <w:r>
        <w:rPr>
          <w:rFonts w:hint="eastAsia" w:ascii="仿宋_GB2312" w:hAnsi="仿宋" w:cs="宋体"/>
          <w:color w:val="000000"/>
          <w:kern w:val="0"/>
        </w:rPr>
        <w:t>优秀“微”作品要贴近师生思想、学习、工作和生活实际，在思想融入、情景设计、表达演绎、拍摄制作等方面具有较高的水平，在网络上有较大影响力，有较高的转发、评论和引用量。视频类作品在片头需标明“第三届全国高校网络教育优秀作品推选展示，本作品为原创，绝无抄袭”字样；片长不超过</w:t>
      </w:r>
      <w:r>
        <w:rPr>
          <w:rFonts w:hint="eastAsia" w:ascii="仿宋_GB2312" w:hAnsi="Times New Roman" w:cs="宋体"/>
          <w:color w:val="000000"/>
          <w:kern w:val="0"/>
        </w:rPr>
        <w:t>10</w:t>
      </w:r>
      <w:r>
        <w:rPr>
          <w:rFonts w:hint="eastAsia" w:ascii="仿宋_GB2312" w:hAnsi="仿宋" w:cs="宋体"/>
          <w:color w:val="000000"/>
          <w:kern w:val="0"/>
        </w:rPr>
        <w:t>分钟；画质清晰，声音清楚，提倡标注字幕。</w:t>
      </w:r>
      <w:r>
        <w:rPr>
          <w:rFonts w:hint="eastAsia" w:ascii="仿宋_GB2312" w:hAnsi="Times New Roman"/>
        </w:rPr>
        <w:t>长图类提交图片文件格式为JPEG。动图类提交图片文件格式为GIF。H5页面类提交作品网络链接。</w:t>
      </w:r>
      <w:r>
        <w:rPr>
          <w:rFonts w:hint="eastAsia" w:ascii="仿宋_GB2312" w:hAnsi="仿宋" w:cs="宋体"/>
          <w:color w:val="000000"/>
          <w:kern w:val="0"/>
        </w:rPr>
        <w:t>音频作品录音时长不超过</w:t>
      </w:r>
      <w:r>
        <w:rPr>
          <w:rFonts w:hint="eastAsia" w:ascii="仿宋_GB2312" w:hAnsi="Times New Roman" w:cs="宋体"/>
          <w:color w:val="000000"/>
          <w:kern w:val="0"/>
        </w:rPr>
        <w:t>5</w:t>
      </w:r>
      <w:r>
        <w:rPr>
          <w:rFonts w:hint="eastAsia" w:ascii="仿宋_GB2312" w:hAnsi="仿宋" w:cs="宋体"/>
          <w:color w:val="000000"/>
          <w:kern w:val="0"/>
        </w:rPr>
        <w:t>分钟，格式统一为</w:t>
      </w:r>
      <w:r>
        <w:rPr>
          <w:rFonts w:hint="eastAsia" w:ascii="仿宋_GB2312" w:hAnsi="Times New Roman" w:cs="宋体"/>
          <w:color w:val="000000"/>
          <w:kern w:val="0"/>
        </w:rPr>
        <w:t>MP3</w:t>
      </w:r>
      <w:r>
        <w:rPr>
          <w:rFonts w:hint="eastAsia" w:ascii="仿宋_GB2312" w:hAnsi="仿宋" w:cs="宋体"/>
          <w:color w:val="000000"/>
          <w:kern w:val="0"/>
        </w:rPr>
        <w:t>，以</w:t>
      </w:r>
      <w:r>
        <w:rPr>
          <w:rFonts w:hint="eastAsia" w:ascii="仿宋_GB2312" w:hAnsi="Times New Roman" w:cs="宋体"/>
          <w:color w:val="000000"/>
          <w:kern w:val="0"/>
        </w:rPr>
        <w:t>WORD</w:t>
      </w:r>
      <w:r>
        <w:rPr>
          <w:rFonts w:hint="eastAsia" w:ascii="仿宋_GB2312" w:hAnsi="仿宋" w:cs="宋体"/>
          <w:color w:val="000000"/>
          <w:kern w:val="0"/>
        </w:rPr>
        <w:t>形式提供音频文字，保证音质清晰流畅，有听觉美感，可根据需要配音效或进行其他后期制作。每件作品作者限</w:t>
      </w:r>
      <w:r>
        <w:rPr>
          <w:rFonts w:hint="eastAsia" w:ascii="仿宋_GB2312" w:hAnsi="Times New Roman"/>
          <w:color w:val="000000"/>
          <w:kern w:val="0"/>
        </w:rPr>
        <w:t>3</w:t>
      </w:r>
      <w:r>
        <w:rPr>
          <w:rFonts w:hint="eastAsia" w:ascii="仿宋_GB2312" w:hAnsi="仿宋" w:cs="宋体"/>
          <w:color w:val="000000"/>
          <w:kern w:val="0"/>
        </w:rPr>
        <w:t>人以内。</w:t>
      </w:r>
    </w:p>
    <w:p>
      <w:pPr>
        <w:ind w:firstLine="600" w:firstLineChars="200"/>
        <w:rPr>
          <w:rFonts w:hint="eastAsia" w:ascii="楷体_GB2312" w:hAnsi="Times New Roman" w:eastAsia="楷体_GB2312"/>
        </w:rPr>
      </w:pPr>
      <w:r>
        <w:rPr>
          <w:rFonts w:hint="eastAsia" w:ascii="楷体_GB2312" w:hAnsi="Times New Roman" w:eastAsia="楷体_GB2312"/>
        </w:rPr>
        <w:t>（三）优秀工作案例</w:t>
      </w:r>
    </w:p>
    <w:p>
      <w:pPr>
        <w:ind w:firstLine="600" w:firstLineChars="200"/>
        <w:rPr>
          <w:rFonts w:hint="eastAsia" w:ascii="仿宋_GB2312" w:hAnsi="仿宋" w:cs="宋体"/>
          <w:color w:val="000000"/>
          <w:kern w:val="0"/>
        </w:rPr>
      </w:pPr>
      <w:r>
        <w:rPr>
          <w:rFonts w:hint="eastAsia" w:ascii="仿宋_GB2312" w:hAnsi="仿宋" w:cs="宋体"/>
          <w:color w:val="000000"/>
          <w:kern w:val="0"/>
        </w:rPr>
        <w:t>优秀工作案例分为两种。一是工作案例,指个人或团队（高校网络思政工作室、理论社团、心理咨询室、创新创业工作室等）在创新网络思想政治工作、提升师生网络素养、开展网络文化建设、推进网络文明教育、营造清朗网络空间及利用网络开展学生工作过程中探索施行的好经验、好做法及维护运行的平台及栏目。二是案例分析,指个人或团队在开展大学生思想政治教育和学生日常管理工作中，对遇到的热点、难点、重点、突发事件、典型事例等利用网络进行释疑解惑和深度辅导过程中形成的好经验、好做法，以及在此基础上进行剖析、总结、提炼形成的新对策新经验。</w:t>
      </w:r>
    </w:p>
    <w:p>
      <w:pPr>
        <w:ind w:firstLine="600" w:firstLineChars="200"/>
        <w:rPr>
          <w:rFonts w:hint="eastAsia" w:ascii="仿宋_GB2312" w:hAnsi="仿宋" w:cs="宋体"/>
          <w:color w:val="000000"/>
          <w:kern w:val="0"/>
        </w:rPr>
      </w:pPr>
      <w:r>
        <w:rPr>
          <w:rFonts w:hint="eastAsia" w:ascii="仿宋_GB2312" w:hAnsi="仿宋" w:cs="宋体"/>
          <w:color w:val="000000"/>
          <w:kern w:val="0"/>
        </w:rPr>
        <w:t>优秀工作案例要已形成一定典型性经验，有固定工作平台、可靠条件保障、长效工作机制和明显育人实效，可示范、可复制、可推广。案例内容应包括项目主题和思路、实施方法和过程、主要成效和经验、下一步加强和改进的计划等，要求文字简洁、重点突出，字数</w:t>
      </w:r>
      <w:r>
        <w:rPr>
          <w:rFonts w:hint="eastAsia" w:ascii="仿宋_GB2312" w:hAnsi="Times New Roman" w:cs="宋体"/>
          <w:color w:val="000000"/>
          <w:kern w:val="0"/>
        </w:rPr>
        <w:t>3000</w:t>
      </w:r>
      <w:r>
        <w:rPr>
          <w:rFonts w:hint="eastAsia" w:ascii="仿宋_GB2312" w:hAnsi="仿宋" w:cs="宋体"/>
          <w:color w:val="000000"/>
          <w:kern w:val="0"/>
        </w:rPr>
        <w:t>字以上，可配以说明图片和视频。每件作品作者限</w:t>
      </w:r>
      <w:r>
        <w:rPr>
          <w:rFonts w:hint="eastAsia" w:ascii="仿宋_GB2312" w:hAnsi="Times New Roman"/>
          <w:color w:val="000000"/>
          <w:kern w:val="0"/>
        </w:rPr>
        <w:t>3</w:t>
      </w:r>
      <w:r>
        <w:rPr>
          <w:rFonts w:hint="eastAsia" w:ascii="仿宋_GB2312" w:hAnsi="仿宋" w:cs="宋体"/>
          <w:color w:val="000000"/>
          <w:kern w:val="0"/>
        </w:rPr>
        <w:t>人以内。</w:t>
      </w:r>
    </w:p>
    <w:p>
      <w:pPr>
        <w:ind w:firstLine="600" w:firstLineChars="200"/>
        <w:rPr>
          <w:rFonts w:hint="eastAsia" w:ascii="黑体" w:hAnsi="Times New Roman" w:eastAsia="黑体"/>
        </w:rPr>
      </w:pPr>
      <w:r>
        <w:rPr>
          <w:rFonts w:hint="eastAsia" w:ascii="黑体" w:hAnsi="黑体" w:eastAsia="黑体"/>
        </w:rPr>
        <w:t>五、作品报送</w:t>
      </w:r>
    </w:p>
    <w:p>
      <w:pPr>
        <w:ind w:firstLine="600" w:firstLineChars="200"/>
        <w:rPr>
          <w:rFonts w:hint="eastAsia"/>
          <w:kern w:val="0"/>
        </w:rPr>
      </w:pPr>
      <w:r>
        <w:rPr>
          <w:rFonts w:hint="eastAsia"/>
          <w:kern w:val="0"/>
        </w:rPr>
        <w:t>材料报送时间</w:t>
      </w:r>
      <w:r>
        <w:rPr>
          <w:rFonts w:hint="eastAsia" w:ascii="仿宋_GB2312" w:hAnsi="仿宋" w:cs="宋体"/>
          <w:color w:val="000000"/>
          <w:kern w:val="0"/>
        </w:rPr>
        <w:t>截至2018年9月15日，</w:t>
      </w:r>
      <w:r>
        <w:rPr>
          <w:rFonts w:hint="eastAsia" w:ascii="仿宋_GB2312" w:hAnsi="仿宋" w:cs="宋体"/>
          <w:color w:val="000000"/>
          <w:kern w:val="0"/>
          <w:sz w:val="30"/>
          <w:szCs w:val="30"/>
          <w:lang w:val="en-US" w:eastAsia="zh-CN" w:bidi="ar-SA"/>
        </w:rPr>
        <w:t>请各单位将</w:t>
      </w:r>
      <w:r>
        <w:rPr>
          <w:rFonts w:hint="eastAsia" w:ascii="仿宋_GB2312" w:hAnsi="仿宋" w:cs="宋体"/>
          <w:color w:val="000000"/>
          <w:kern w:val="0"/>
        </w:rPr>
        <w:t>电子版及纸质材料</w:t>
      </w:r>
      <w:r>
        <w:rPr>
          <w:rFonts w:hint="eastAsia" w:ascii="仿宋_GB2312" w:hAnsi="仿宋" w:cs="宋体"/>
          <w:color w:val="000000"/>
          <w:kern w:val="0"/>
          <w:sz w:val="30"/>
          <w:szCs w:val="30"/>
          <w:lang w:val="en-US" w:eastAsia="zh-CN" w:bidi="ar-SA"/>
        </w:rPr>
        <w:t>及时</w:t>
      </w:r>
      <w:r>
        <w:rPr>
          <w:rFonts w:hint="eastAsia" w:ascii="仿宋_GB2312" w:hAnsi="仿宋" w:eastAsia="仿宋_GB2312" w:cs="宋体"/>
          <w:color w:val="000000"/>
          <w:kern w:val="0"/>
          <w:sz w:val="30"/>
          <w:szCs w:val="30"/>
          <w:lang w:val="en-US" w:eastAsia="zh-CN" w:bidi="ar-SA"/>
        </w:rPr>
        <w:t>报送至团委邮箱gqtzzgsxywyh@126.com，联系人王亚骋老师。</w:t>
      </w:r>
    </w:p>
    <w:p>
      <w:pPr>
        <w:rPr>
          <w:rFonts w:hint="eastAsia" w:ascii="仿宋_GB2312" w:hAnsi="仿宋" w:cs="宋体"/>
          <w:color w:val="000000"/>
          <w:kern w:val="0"/>
        </w:rPr>
      </w:pPr>
      <w:r>
        <w:rPr>
          <w:rFonts w:hint="eastAsia" w:ascii="仿宋_GB2312" w:hAnsi="仿宋" w:cs="宋体"/>
          <w:color w:val="000000"/>
          <w:kern w:val="0"/>
        </w:rPr>
        <w:t xml:space="preserve"> </w:t>
      </w:r>
    </w:p>
    <w:p>
      <w:pPr>
        <w:ind w:firstLine="750" w:firstLineChars="250"/>
        <w:rPr>
          <w:rFonts w:hint="eastAsia" w:ascii="仿宋_GB2312" w:hAnsi="仿宋" w:cs="宋体"/>
          <w:color w:val="000000"/>
          <w:kern w:val="0"/>
        </w:rPr>
      </w:pPr>
      <w:bookmarkStart w:id="0" w:name="_GoBack"/>
      <w:bookmarkEnd w:id="0"/>
      <w:r>
        <w:rPr>
          <w:rFonts w:hint="eastAsia" w:ascii="仿宋_GB2312" w:hAnsi="仿宋" w:cs="宋体"/>
          <w:color w:val="000000"/>
          <w:kern w:val="0"/>
        </w:rPr>
        <w:t>附： 第三届全国高校网络教育优秀作品推选展示活动作品</w:t>
      </w:r>
    </w:p>
    <w:p>
      <w:pPr>
        <w:ind w:firstLine="1200" w:firstLineChars="400"/>
        <w:rPr>
          <w:rFonts w:hint="eastAsia" w:ascii="仿宋_GB2312" w:hAnsi="仿宋" w:cs="宋体"/>
          <w:color w:val="000000"/>
          <w:kern w:val="0"/>
        </w:rPr>
      </w:pPr>
      <w:r>
        <w:rPr>
          <w:rFonts w:hint="eastAsia" w:ascii="仿宋_GB2312" w:hAnsi="仿宋" w:cs="宋体"/>
          <w:color w:val="000000"/>
          <w:kern w:val="0"/>
        </w:rPr>
        <w:t>创作选题指南</w:t>
      </w:r>
    </w:p>
    <w:p>
      <w:pPr>
        <w:ind w:firstLine="1350" w:firstLineChars="450"/>
        <w:rPr>
          <w:rFonts w:hint="eastAsia" w:ascii="仿宋_GB2312" w:hAnsi="仿宋" w:cs="宋体"/>
          <w:color w:val="000000"/>
          <w:kern w:val="0"/>
        </w:rPr>
      </w:pPr>
    </w:p>
    <w:p>
      <w:pPr>
        <w:ind w:firstLine="1350" w:firstLineChars="450"/>
        <w:rPr>
          <w:rFonts w:hint="eastAsia" w:ascii="仿宋_GB2312" w:hAnsi="仿宋" w:cs="宋体"/>
          <w:color w:val="000000"/>
          <w:kern w:val="0"/>
        </w:rPr>
      </w:pPr>
      <w:r>
        <w:rPr>
          <w:rFonts w:hint="eastAsia" w:ascii="仿宋_GB2312" w:hAnsi="仿宋" w:cs="宋体"/>
          <w:color w:val="000000"/>
          <w:kern w:val="0"/>
        </w:rPr>
        <w:t xml:space="preserve"> </w:t>
      </w:r>
    </w:p>
    <w:p>
      <w:pPr>
        <w:widowControl/>
        <w:ind w:right="300"/>
        <w:jc w:val="right"/>
        <w:rPr>
          <w:rFonts w:hint="eastAsia" w:ascii="仿宋_GB2312" w:hAnsi="仿宋" w:cs="宋体"/>
          <w:color w:val="000000"/>
          <w:kern w:val="0"/>
        </w:rPr>
      </w:pPr>
      <w:r>
        <w:rPr>
          <w:rFonts w:hint="eastAsia" w:ascii="仿宋_GB2312" w:hAnsi="仿宋" w:cs="宋体"/>
          <w:color w:val="000000"/>
          <w:kern w:val="0"/>
        </w:rPr>
        <w:t>郑州工商学院</w:t>
      </w:r>
    </w:p>
    <w:p>
      <w:pPr>
        <w:widowControl/>
        <w:jc w:val="right"/>
        <w:rPr>
          <w:rFonts w:ascii="黑体" w:hAnsi="Times New Roman" w:eastAsia="黑体"/>
          <w:color w:val="000000"/>
        </w:rPr>
        <w:sectPr>
          <w:pgSz w:w="11906" w:h="16838"/>
          <w:pgMar w:top="1928" w:right="1588" w:bottom="1985" w:left="1644" w:header="720" w:footer="720" w:gutter="0"/>
          <w:cols w:space="720" w:num="1"/>
          <w:docGrid w:type="lines" w:linePitch="587" w:charSpace="0"/>
        </w:sectPr>
      </w:pPr>
      <w:r>
        <w:rPr>
          <w:rFonts w:ascii="仿宋_GB2312" w:hAnsi="仿宋" w:cs="宋体"/>
          <w:color w:val="000000"/>
          <w:kern w:val="0"/>
        </w:rPr>
        <w:t>2018年7月25日</w:t>
      </w:r>
    </w:p>
    <w:p>
      <w:pPr>
        <w:jc w:val="left"/>
        <w:rPr>
          <w:rFonts w:hint="eastAsia" w:ascii="黑体" w:hAnsi="Times New Roman" w:eastAsia="黑体"/>
          <w:color w:val="000000"/>
        </w:rPr>
      </w:pPr>
      <w:r>
        <w:rPr>
          <w:rFonts w:hint="eastAsia" w:ascii="黑体" w:hAnsi="黑体" w:eastAsia="黑体"/>
          <w:color w:val="000000"/>
        </w:rPr>
        <w:t>附</w:t>
      </w:r>
    </w:p>
    <w:p>
      <w:pPr>
        <w:jc w:val="left"/>
        <w:rPr>
          <w:rFonts w:hint="eastAsia" w:ascii="黑体" w:hAnsi="Times New Roman" w:eastAsia="黑体"/>
          <w:color w:val="000000"/>
        </w:rPr>
      </w:pPr>
      <w:r>
        <w:rPr>
          <w:rFonts w:hint="eastAsia" w:ascii="黑体" w:hAnsi="Times New Roman" w:eastAsia="黑体"/>
          <w:color w:val="000000"/>
        </w:rPr>
        <w:t xml:space="preserve"> </w:t>
      </w:r>
    </w:p>
    <w:p>
      <w:pPr>
        <w:snapToGrid w:val="0"/>
        <w:jc w:val="center"/>
        <w:rPr>
          <w:rFonts w:hint="eastAsia" w:ascii="方正小标宋简体" w:hAnsi="Times New Roman" w:eastAsia="方正小标宋简体"/>
          <w:color w:val="000000"/>
          <w:sz w:val="44"/>
          <w:szCs w:val="44"/>
        </w:rPr>
      </w:pPr>
      <w:r>
        <w:rPr>
          <w:rFonts w:hint="eastAsia" w:ascii="方正小标宋简体" w:hAnsi="Times New Roman" w:eastAsia="方正小标宋简体"/>
          <w:color w:val="000000"/>
          <w:sz w:val="44"/>
          <w:szCs w:val="44"/>
        </w:rPr>
        <w:t>第三届全国高校网络教育优秀作品推选</w:t>
      </w:r>
    </w:p>
    <w:p>
      <w:pPr>
        <w:snapToGrid w:val="0"/>
        <w:jc w:val="center"/>
        <w:rPr>
          <w:rFonts w:hint="eastAsia" w:ascii="方正小标宋简体" w:hAnsi="Times New Roman" w:eastAsia="方正小标宋简体"/>
          <w:color w:val="000000"/>
          <w:sz w:val="44"/>
          <w:szCs w:val="44"/>
        </w:rPr>
      </w:pPr>
      <w:r>
        <w:rPr>
          <w:rFonts w:hint="eastAsia" w:ascii="方正小标宋简体" w:hAnsi="Times New Roman" w:eastAsia="方正小标宋简体"/>
          <w:color w:val="000000"/>
          <w:sz w:val="44"/>
          <w:szCs w:val="44"/>
        </w:rPr>
        <w:t>展示活动作品创作选题指南</w:t>
      </w:r>
    </w:p>
    <w:p>
      <w:pPr>
        <w:spacing w:line="560" w:lineRule="exact"/>
        <w:jc w:val="center"/>
        <w:rPr>
          <w:rFonts w:hint="eastAsia" w:ascii="仿宋_GB2312" w:hAnsi="仿宋" w:cs="宋体"/>
          <w:color w:val="000000"/>
          <w:kern w:val="0"/>
        </w:rPr>
      </w:pPr>
      <w:r>
        <w:rPr>
          <w:rFonts w:hint="eastAsia" w:ascii="仿宋_GB2312" w:hAnsi="仿宋" w:cs="宋体"/>
          <w:color w:val="000000"/>
          <w:kern w:val="0"/>
        </w:rPr>
        <w:t xml:space="preserve"> </w:t>
      </w:r>
    </w:p>
    <w:p>
      <w:pPr>
        <w:pStyle w:val="14"/>
        <w:spacing w:line="560" w:lineRule="exact"/>
        <w:ind w:firstLine="60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1.习近平新时代中国特色社会主义思想和党的十九大精神宣传教育</w:t>
      </w:r>
    </w:p>
    <w:p>
      <w:pPr>
        <w:pStyle w:val="14"/>
        <w:spacing w:line="560" w:lineRule="exact"/>
        <w:ind w:firstLine="60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2.习近平总书记在全国网信工作会议上重要讲话精神宣传教育</w:t>
      </w:r>
    </w:p>
    <w:p>
      <w:pPr>
        <w:pStyle w:val="14"/>
        <w:spacing w:line="560" w:lineRule="exact"/>
        <w:ind w:firstLine="60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3.习近平总书记在北京大学师生座谈会上重要讲话精神宣传教育</w:t>
      </w:r>
    </w:p>
    <w:p>
      <w:pPr>
        <w:pStyle w:val="14"/>
        <w:spacing w:line="560" w:lineRule="exact"/>
        <w:ind w:firstLine="60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4.全国高校思想政治工作会议精神宣传教育</w:t>
      </w:r>
    </w:p>
    <w:p>
      <w:pPr>
        <w:pStyle w:val="14"/>
        <w:spacing w:line="560" w:lineRule="exact"/>
        <w:ind w:firstLine="60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sz w:val="30"/>
          <w:szCs w:val="30"/>
        </w:rPr>
        <w:t>5.社会主义核心价值观教育</w:t>
      </w:r>
    </w:p>
    <w:p>
      <w:pPr>
        <w:pStyle w:val="14"/>
        <w:spacing w:line="560" w:lineRule="exact"/>
        <w:ind w:firstLine="60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6.推动“三全”育人综合改革的思考与实践</w:t>
      </w:r>
    </w:p>
    <w:p>
      <w:pPr>
        <w:pStyle w:val="14"/>
        <w:spacing w:line="560" w:lineRule="exact"/>
        <w:ind w:firstLine="60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7.提升高校思想政治教育亲和力和针对性的思考</w:t>
      </w:r>
    </w:p>
    <w:p>
      <w:pPr>
        <w:pStyle w:val="14"/>
        <w:spacing w:line="560" w:lineRule="exact"/>
        <w:ind w:firstLine="60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8.高校思想政治工作一体化育人体系构建</w:t>
      </w:r>
    </w:p>
    <w:p>
      <w:pPr>
        <w:pStyle w:val="14"/>
        <w:spacing w:line="560" w:lineRule="exact"/>
        <w:ind w:firstLine="60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9.改革开放伟大成就融入大学生思想政治教育</w:t>
      </w:r>
    </w:p>
    <w:p>
      <w:pPr>
        <w:pStyle w:val="14"/>
        <w:spacing w:line="560" w:lineRule="exact"/>
        <w:ind w:firstLine="60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10.新时代青年学生理想信念、价值观念、道德观念教育</w:t>
      </w:r>
    </w:p>
    <w:p>
      <w:pPr>
        <w:pStyle w:val="14"/>
        <w:spacing w:line="560" w:lineRule="exact"/>
        <w:ind w:firstLine="60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11.新时代青年学生网络素养教育</w:t>
      </w:r>
    </w:p>
    <w:p>
      <w:pPr>
        <w:pStyle w:val="14"/>
        <w:spacing w:line="560" w:lineRule="exact"/>
        <w:ind w:firstLine="60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12.新时代青年学生法治素养教育</w:t>
      </w:r>
    </w:p>
    <w:p>
      <w:pPr>
        <w:pStyle w:val="14"/>
        <w:spacing w:line="560" w:lineRule="exact"/>
        <w:ind w:firstLine="60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13.新时代青年学生心理健康教育</w:t>
      </w:r>
    </w:p>
    <w:p>
      <w:pPr>
        <w:pStyle w:val="14"/>
        <w:spacing w:line="560" w:lineRule="exact"/>
        <w:ind w:firstLine="60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14.高校实践育人协同体系建设</w:t>
      </w:r>
    </w:p>
    <w:p>
      <w:pPr>
        <w:pStyle w:val="14"/>
        <w:spacing w:line="560" w:lineRule="exact"/>
        <w:ind w:firstLine="60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15.高校优秀网络文化建设作品培育</w:t>
      </w:r>
    </w:p>
    <w:p>
      <w:pPr>
        <w:pStyle w:val="14"/>
        <w:spacing w:line="560" w:lineRule="exact"/>
        <w:ind w:firstLine="60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16.高校原创经典文化品牌培育</w:t>
      </w:r>
    </w:p>
    <w:p>
      <w:pPr>
        <w:pStyle w:val="14"/>
        <w:spacing w:line="560" w:lineRule="exact"/>
        <w:ind w:firstLine="60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sz w:val="30"/>
          <w:szCs w:val="30"/>
        </w:rPr>
        <w:t>17.高校优良校风、学风培育</w:t>
      </w:r>
    </w:p>
    <w:p>
      <w:pPr>
        <w:pStyle w:val="14"/>
        <w:spacing w:line="560" w:lineRule="exact"/>
        <w:ind w:firstLine="600"/>
        <w:rPr>
          <w:rFonts w:hint="eastAsia" w:ascii="仿宋_GB2312" w:hAnsi="Times New Roman" w:eastAsia="仿宋_GB2312" w:cs="Times New Roman"/>
          <w:color w:val="000000"/>
          <w:sz w:val="30"/>
          <w:szCs w:val="30"/>
        </w:rPr>
      </w:pPr>
      <w:r>
        <w:rPr>
          <w:rFonts w:hint="eastAsia" w:ascii="仿宋_GB2312" w:hAnsi="Times New Roman" w:eastAsia="仿宋_GB2312" w:cs="Times New Roman"/>
          <w:color w:val="000000"/>
          <w:sz w:val="30"/>
          <w:szCs w:val="30"/>
        </w:rPr>
        <w:t>18.校园贷、网络游戏成瘾等热点问题的应对策略</w:t>
      </w:r>
    </w:p>
    <w:p>
      <w:pPr>
        <w:pStyle w:val="14"/>
        <w:spacing w:line="540" w:lineRule="exact"/>
        <w:ind w:firstLine="600"/>
        <w:rPr>
          <w:rFonts w:ascii="仿宋_GB2312" w:hAnsi="仿宋" w:eastAsia="仿宋_GB2312"/>
          <w:color w:val="000000"/>
          <w:sz w:val="30"/>
          <w:szCs w:val="30"/>
        </w:rPr>
      </w:pPr>
      <w:r>
        <w:rPr>
          <w:rFonts w:hint="eastAsia" w:ascii="仿宋_GB2312" w:hAnsi="黑体" w:eastAsia="仿宋_GB2312" w:cs="黑体"/>
          <w:color w:val="000000"/>
          <w:sz w:val="30"/>
          <w:szCs w:val="30"/>
        </w:rPr>
        <w:t>（供创作参考，不限于以上主题）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5011A"/>
    <w:multiLevelType w:val="singleLevel"/>
    <w:tmpl w:val="4285011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kqaOIp2xYvYH+rRPnMlNwMYqsi4=" w:salt="TzHH8PN/TM5/PJEPno8mo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94392"/>
    <w:rsid w:val="00194392"/>
    <w:rsid w:val="0030316D"/>
    <w:rsid w:val="003206BF"/>
    <w:rsid w:val="00322800"/>
    <w:rsid w:val="003A0FC3"/>
    <w:rsid w:val="00426D75"/>
    <w:rsid w:val="007F28B8"/>
    <w:rsid w:val="007F297E"/>
    <w:rsid w:val="009F71F0"/>
    <w:rsid w:val="00A145A4"/>
    <w:rsid w:val="00B068D4"/>
    <w:rsid w:val="00B37976"/>
    <w:rsid w:val="00CB77C6"/>
    <w:rsid w:val="00D51E3A"/>
    <w:rsid w:val="00DD093A"/>
    <w:rsid w:val="00DD5135"/>
    <w:rsid w:val="00E41739"/>
    <w:rsid w:val="00E6622C"/>
    <w:rsid w:val="00E91A88"/>
    <w:rsid w:val="00F06C1B"/>
    <w:rsid w:val="04EC1BD7"/>
    <w:rsid w:val="211D779B"/>
    <w:rsid w:val="4B326FDE"/>
    <w:rsid w:val="6E6D3BBC"/>
    <w:rsid w:val="6E806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nhideWhenUsed="0" w:uiPriority="99" w:semiHidden="0"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0"/>
      <w:szCs w:val="30"/>
      <w:lang w:val="en-US" w:eastAsia="zh-CN" w:bidi="ar-SA"/>
    </w:rPr>
  </w:style>
  <w:style w:type="paragraph" w:styleId="2">
    <w:name w:val="heading 1"/>
    <w:basedOn w:val="1"/>
    <w:next w:val="1"/>
    <w:link w:val="9"/>
    <w:qFormat/>
    <w:uiPriority w:val="99"/>
    <w:pPr>
      <w:widowControl/>
      <w:spacing w:before="100" w:beforeAutospacing="1" w:after="100" w:afterAutospacing="1"/>
      <w:jc w:val="left"/>
      <w:outlineLvl w:val="0"/>
    </w:pPr>
    <w:rPr>
      <w:rFonts w:ascii="仿宋_GB2312" w:hAnsi="宋体" w:cs="宋体"/>
      <w:b/>
      <w:bCs/>
      <w:kern w:val="36"/>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snapToGrid w:val="0"/>
      <w:jc w:val="left"/>
    </w:pPr>
    <w:rPr>
      <w:rFonts w:ascii="仿宋_GB2312" w:hAnsi="Times New Roman"/>
      <w:color w:val="000000"/>
      <w:kern w:val="0"/>
      <w:sz w:val="18"/>
      <w:szCs w:val="18"/>
    </w:rPr>
  </w:style>
  <w:style w:type="paragraph" w:styleId="5">
    <w:name w:val="Normal (Web)"/>
    <w:basedOn w:val="1"/>
    <w:unhideWhenUsed/>
    <w:qFormat/>
    <w:uiPriority w:val="99"/>
    <w:pPr>
      <w:spacing w:before="100" w:beforeAutospacing="1" w:after="100" w:afterAutospacing="1"/>
      <w:jc w:val="left"/>
    </w:pPr>
    <w:rPr>
      <w:rFonts w:eastAsia="宋体"/>
      <w:kern w:val="0"/>
      <w:sz w:val="24"/>
      <w:szCs w:val="24"/>
    </w:rPr>
  </w:style>
  <w:style w:type="character" w:styleId="7">
    <w:name w:val="Hyperlink"/>
    <w:basedOn w:val="6"/>
    <w:unhideWhenUsed/>
    <w:qFormat/>
    <w:uiPriority w:val="99"/>
    <w:rPr>
      <w:color w:val="0000FF"/>
      <w:u w:val="single"/>
    </w:rPr>
  </w:style>
  <w:style w:type="character" w:customStyle="1" w:styleId="9">
    <w:name w:val="标题 1 Char"/>
    <w:basedOn w:val="6"/>
    <w:link w:val="2"/>
    <w:qFormat/>
    <w:uiPriority w:val="99"/>
    <w:rPr>
      <w:rFonts w:ascii="仿宋_GB2312" w:hAnsi="宋体" w:eastAsia="仿宋_GB2312" w:cs="宋体"/>
      <w:b/>
      <w:bCs/>
      <w:kern w:val="36"/>
      <w:sz w:val="30"/>
      <w:szCs w:val="30"/>
    </w:rPr>
  </w:style>
  <w:style w:type="character" w:customStyle="1" w:styleId="10">
    <w:name w:val="16"/>
    <w:basedOn w:val="6"/>
    <w:qFormat/>
    <w:uiPriority w:val="0"/>
    <w:rPr>
      <w:rFonts w:hint="default" w:ascii="Times New Roman" w:hAnsi="Times New Roman" w:eastAsia="宋体" w:cs="Times New Roman"/>
      <w:b/>
      <w:bCs/>
    </w:rPr>
  </w:style>
  <w:style w:type="character" w:customStyle="1" w:styleId="11">
    <w:name w:val="页脚 Char"/>
    <w:basedOn w:val="6"/>
    <w:link w:val="4"/>
    <w:qFormat/>
    <w:uiPriority w:val="99"/>
    <w:rPr>
      <w:rFonts w:ascii="仿宋_GB2312" w:hAnsi="Times New Roman" w:eastAsia="仿宋_GB2312" w:cs="Times New Roman"/>
      <w:color w:val="000000"/>
      <w:kern w:val="0"/>
      <w:sz w:val="18"/>
      <w:szCs w:val="18"/>
    </w:rPr>
  </w:style>
  <w:style w:type="character" w:customStyle="1" w:styleId="12">
    <w:name w:val="批注框文本 Char"/>
    <w:basedOn w:val="6"/>
    <w:link w:val="3"/>
    <w:semiHidden/>
    <w:qFormat/>
    <w:uiPriority w:val="99"/>
    <w:rPr>
      <w:rFonts w:ascii="Calibri" w:hAnsi="Calibri" w:eastAsia="仿宋_GB2312" w:cs="Times New Roman"/>
      <w:sz w:val="18"/>
      <w:szCs w:val="18"/>
    </w:rPr>
  </w:style>
  <w:style w:type="paragraph" w:customStyle="1" w:styleId="13">
    <w:name w:val="正文格式"/>
    <w:basedOn w:val="1"/>
    <w:qFormat/>
    <w:uiPriority w:val="0"/>
    <w:pPr>
      <w:spacing w:line="520" w:lineRule="exact"/>
      <w:ind w:firstLine="600" w:firstLineChars="200"/>
    </w:pPr>
    <w:rPr>
      <w:rFonts w:ascii="Times New Roman" w:hAnsi="Times New Roman"/>
      <w:kern w:val="0"/>
    </w:rPr>
  </w:style>
  <w:style w:type="paragraph" w:customStyle="1" w:styleId="14">
    <w:name w:val="List Paragraph"/>
    <w:basedOn w:val="1"/>
    <w:qFormat/>
    <w:uiPriority w:val="0"/>
    <w:pPr>
      <w:ind w:firstLine="420" w:firstLineChars="200"/>
    </w:pPr>
    <w:rPr>
      <w:rFonts w:eastAsia="宋体" w:cs="Calibri"/>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301</Words>
  <Characters>1722</Characters>
  <Lines>14</Lines>
  <Paragraphs>4</Paragraphs>
  <TotalTime>1</TotalTime>
  <ScaleCrop>false</ScaleCrop>
  <LinksUpToDate>false</LinksUpToDate>
  <CharactersWithSpaces>2019</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2018-07-25T07:50:00Z</dcterms:created>
  <dc:creator>lenovo</dc:creator>
  <cp:lastModifiedBy>lenovo</cp:lastModifiedBy>
  <dcterms:modified xsi:type="dcterms:W3CDTF">2018-07-26T07:15:23Z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ies>
</file>