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6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7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before="140" w:line="221" w:lineRule="auto"/>
        <w:ind w:left="903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6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2023</w:t>
      </w:r>
      <w:r>
        <w:rPr>
          <w:rFonts w:ascii="宋体" w:hAnsi="宋体" w:eastAsia="宋体" w:cs="宋体"/>
          <w:spacing w:val="-81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6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年河南省高等教育教学改革研究</w:t>
      </w:r>
    </w:p>
    <w:p>
      <w:pPr>
        <w:spacing w:before="134" w:line="602" w:lineRule="exact"/>
        <w:ind w:left="97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7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与实践项目（研究生教育）选题方向</w:t>
      </w:r>
    </w:p>
    <w:p>
      <w:pPr>
        <w:spacing w:line="312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pStyle w:val="2"/>
        <w:spacing w:before="101" w:line="588" w:lineRule="exact"/>
        <w:ind w:left="602"/>
      </w:pPr>
      <w:r>
        <w:rPr>
          <w:spacing w:val="6"/>
          <w:position w:val="20"/>
        </w:rPr>
        <w:t>1. 世界一流大学和一流学科建设研究与实践</w:t>
      </w:r>
    </w:p>
    <w:p>
      <w:pPr>
        <w:pStyle w:val="2"/>
        <w:spacing w:line="222" w:lineRule="auto"/>
        <w:ind w:left="594"/>
      </w:pPr>
      <w:r>
        <w:rPr>
          <w:spacing w:val="6"/>
        </w:rPr>
        <w:t>2. 重点学科高质量发展研究与实践</w:t>
      </w:r>
    </w:p>
    <w:p>
      <w:pPr>
        <w:pStyle w:val="2"/>
        <w:spacing w:before="212" w:line="588" w:lineRule="exact"/>
        <w:ind w:left="607"/>
      </w:pPr>
      <w:r>
        <w:rPr>
          <w:spacing w:val="6"/>
          <w:position w:val="20"/>
        </w:rPr>
        <w:t>3. 学位授予单位及学位授权点立项建设研究与实践</w:t>
      </w:r>
    </w:p>
    <w:p>
      <w:pPr>
        <w:pStyle w:val="2"/>
        <w:spacing w:before="2" w:line="221" w:lineRule="auto"/>
        <w:ind w:left="593"/>
      </w:pPr>
      <w:r>
        <w:rPr>
          <w:spacing w:val="7"/>
        </w:rPr>
        <w:t>4. 学位与研究生教育高质量发展研究与实践</w:t>
      </w:r>
    </w:p>
    <w:p>
      <w:pPr>
        <w:pStyle w:val="2"/>
        <w:spacing w:before="213" w:line="588" w:lineRule="exact"/>
        <w:ind w:left="598"/>
      </w:pPr>
      <w:r>
        <w:rPr>
          <w:spacing w:val="5"/>
          <w:position w:val="20"/>
        </w:rPr>
        <w:t>5. 学位管理工作研究与实践</w:t>
      </w:r>
    </w:p>
    <w:p>
      <w:pPr>
        <w:pStyle w:val="2"/>
        <w:spacing w:line="220" w:lineRule="auto"/>
        <w:ind w:left="597"/>
      </w:pPr>
      <w:r>
        <w:rPr>
          <w:spacing w:val="5"/>
        </w:rPr>
        <w:t>6. 学位信息工作研究与实践</w:t>
      </w:r>
    </w:p>
    <w:p>
      <w:pPr>
        <w:pStyle w:val="2"/>
        <w:spacing w:before="218" w:line="586" w:lineRule="exact"/>
        <w:ind w:left="597"/>
      </w:pPr>
      <w:r>
        <w:rPr>
          <w:spacing w:val="6"/>
          <w:position w:val="20"/>
        </w:rPr>
        <w:t>7. 学位授予质量保障机制建设研究与实践</w:t>
      </w:r>
    </w:p>
    <w:p>
      <w:pPr>
        <w:pStyle w:val="2"/>
        <w:spacing w:before="1" w:line="221" w:lineRule="auto"/>
        <w:ind w:left="597"/>
      </w:pPr>
      <w:r>
        <w:rPr>
          <w:spacing w:val="6"/>
        </w:rPr>
        <w:t>8. 学位论文质量监督体系构建研究与实践</w:t>
      </w:r>
    </w:p>
    <w:p>
      <w:pPr>
        <w:pStyle w:val="2"/>
        <w:spacing w:before="216" w:line="222" w:lineRule="auto"/>
        <w:ind w:left="597"/>
      </w:pPr>
      <w:r>
        <w:rPr>
          <w:spacing w:val="6"/>
        </w:rPr>
        <w:t>9. 学位论文质量提升路径研究与实践</w:t>
      </w:r>
    </w:p>
    <w:p>
      <w:pPr>
        <w:pStyle w:val="2"/>
        <w:spacing w:before="213" w:line="588" w:lineRule="exact"/>
        <w:ind w:left="602"/>
      </w:pPr>
      <w:r>
        <w:rPr>
          <w:spacing w:val="6"/>
          <w:position w:val="20"/>
        </w:rPr>
        <w:t>10. 专业学位研究生教育综合改革研究与实践</w:t>
      </w:r>
    </w:p>
    <w:p>
      <w:pPr>
        <w:pStyle w:val="2"/>
        <w:spacing w:line="221" w:lineRule="auto"/>
        <w:ind w:left="602"/>
      </w:pPr>
      <w:r>
        <w:rPr>
          <w:spacing w:val="6"/>
        </w:rPr>
        <w:t>11. 研究生培养模式改革研究与实践</w:t>
      </w:r>
    </w:p>
    <w:p>
      <w:pPr>
        <w:pStyle w:val="2"/>
        <w:spacing w:before="214" w:line="588" w:lineRule="exact"/>
        <w:ind w:left="602"/>
      </w:pPr>
      <w:r>
        <w:rPr>
          <w:spacing w:val="6"/>
          <w:position w:val="20"/>
        </w:rPr>
        <w:t>12. 研究生思想政治理论教育研究与实践</w:t>
      </w:r>
    </w:p>
    <w:p>
      <w:pPr>
        <w:pStyle w:val="2"/>
        <w:spacing w:before="1" w:line="221" w:lineRule="auto"/>
        <w:ind w:left="602"/>
      </w:pPr>
      <w:r>
        <w:rPr>
          <w:spacing w:val="6"/>
        </w:rPr>
        <w:t>13. 研究生课程教学改革研究与实践</w:t>
      </w:r>
    </w:p>
    <w:p>
      <w:pPr>
        <w:pStyle w:val="2"/>
        <w:spacing w:before="213" w:line="589" w:lineRule="exact"/>
        <w:ind w:left="602"/>
      </w:pPr>
      <w:r>
        <w:rPr>
          <w:spacing w:val="6"/>
          <w:position w:val="20"/>
        </w:rPr>
        <w:t>14. 研究生教育管理工作机制体系创新研究与实践</w:t>
      </w:r>
    </w:p>
    <w:p>
      <w:pPr>
        <w:pStyle w:val="2"/>
        <w:spacing w:before="1" w:line="222" w:lineRule="auto"/>
        <w:ind w:left="602"/>
      </w:pPr>
      <w:r>
        <w:rPr>
          <w:spacing w:val="6"/>
        </w:rPr>
        <w:t>15. 研究生导师队伍建设研究与实践</w:t>
      </w:r>
    </w:p>
    <w:p>
      <w:pPr>
        <w:spacing w:line="379" w:lineRule="auto"/>
        <w:rPr>
          <w:rFonts w:hint="eastAsia" w:ascii="Arial"/>
          <w:sz w:val="21"/>
          <w:lang w:val="en-US" w:eastAsia="zh-CN"/>
        </w:rPr>
      </w:pPr>
      <w:bookmarkStart w:id="0" w:name="_GoBack"/>
      <w:bookmarkEnd w:id="0"/>
    </w:p>
    <w:sectPr>
      <w:footerReference r:id="rId5" w:type="default"/>
      <w:pgSz w:w="11906" w:h="16838"/>
      <w:pgMar w:top="1431" w:right="1374" w:bottom="400" w:left="153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UzMzg5NjAwM2E1NDMyNjg1NmUxMjFjODJjMDBjMGQifQ=="/>
  </w:docVars>
  <w:rsids>
    <w:rsidRoot w:val="00000000"/>
    <w:rsid w:val="09153CCC"/>
    <w:rsid w:val="19F65454"/>
    <w:rsid w:val="47971B97"/>
    <w:rsid w:val="57DE0C8D"/>
    <w:rsid w:val="5F9543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2023-09-27T17:06:00Z</dcterms:created>
  <dc:creator>uos</dc:creator>
  <cp:lastModifiedBy>啦啦兔</cp:lastModifiedBy>
  <dcterms:modified xsi:type="dcterms:W3CDTF">2023-09-28T06:45:22Z</dcterms:modified>
  <dc:title>关于开展2023年河南省高等教育教学改革研究与实践项目（研究生教育类）立项与结项鉴定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2023-09-28T14:16:39Z</vt:filetime>
  </property>
  <property fmtid="{D5CDD505-2E9C-101B-9397-08002B2CF9AE}" pid="4" name="KSOProductBuildVer">
    <vt:lpwstr>2052-12.1.0.15374</vt:lpwstr>
  </property>
  <property fmtid="{D5CDD505-2E9C-101B-9397-08002B2CF9AE}" pid="5" name="ICV">
    <vt:lpwstr>92D21AB419474BBBAD0A009A95BE6404_12</vt:lpwstr>
  </property>
</Properties>
</file>