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8568"/>
          <w:tab w:val="clear" w:pos="8640"/>
        </w:tabs>
        <w:adjustRightInd w:val="0"/>
        <w:spacing w:line="360" w:lineRule="auto"/>
        <w:ind w:left="0" w:leftChars="0" w:firstLine="0" w:firstLineChars="0"/>
        <w:jc w:val="center"/>
        <w:rPr>
          <w:rFonts w:hint="eastAsia" w:ascii="黑体" w:hAnsi="黑体" w:eastAsia="黑体" w:cs="黑体"/>
          <w:kern w:val="0"/>
          <w:sz w:val="36"/>
          <w:szCs w:val="36"/>
          <w:lang w:eastAsia="zh-CN"/>
        </w:rPr>
      </w:pPr>
      <w:r>
        <w:commentReference w:id="0"/>
      </w:r>
    </w:p>
    <w:p>
      <w:pPr>
        <w:widowControl/>
        <w:tabs>
          <w:tab w:val="left" w:pos="8568"/>
          <w:tab w:val="clear" w:pos="8640"/>
        </w:tabs>
        <w:adjustRightInd w:val="0"/>
        <w:spacing w:line="360" w:lineRule="auto"/>
        <w:ind w:left="0" w:leftChars="0" w:firstLine="0" w:firstLineChars="0"/>
        <w:jc w:val="both"/>
        <w:rPr>
          <w:rFonts w:hint="eastAsia" w:ascii="黑体" w:hAnsi="黑体" w:eastAsia="黑体" w:cs="黑体"/>
          <w:kern w:val="0"/>
          <w:sz w:val="36"/>
          <w:szCs w:val="36"/>
          <w:lang w:eastAsia="zh-CN"/>
        </w:rPr>
      </w:pPr>
      <w:r>
        <w:rPr>
          <w:rFonts w:hint="eastAsia" w:ascii="黑体" w:hAnsi="黑体" w:eastAsia="黑体" w:cs="黑体"/>
          <w:kern w:val="0"/>
          <w:sz w:val="36"/>
          <w:szCs w:val="36"/>
          <w:lang w:val="en-US" w:eastAsia="zh-CN"/>
        </w:rPr>
        <w:t xml:space="preserve">           </w:t>
      </w:r>
      <w:r>
        <w:rPr>
          <w:rFonts w:hint="eastAsia" w:ascii="黑体" w:hAnsi="黑体" w:eastAsia="黑体" w:cs="黑体"/>
          <w:kern w:val="0"/>
          <w:sz w:val="36"/>
          <w:szCs w:val="36"/>
          <w:lang w:eastAsia="zh-CN"/>
        </w:rPr>
        <w:drawing>
          <wp:inline distT="0" distB="0" distL="114300" distR="114300">
            <wp:extent cx="3185160" cy="805180"/>
            <wp:effectExtent l="0" t="0" r="0" b="2540"/>
            <wp:docPr id="7" name="图片 7"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11"/>
                    <pic:cNvPicPr>
                      <a:picLocks noChangeAspect="1"/>
                    </pic:cNvPicPr>
                  </pic:nvPicPr>
                  <pic:blipFill>
                    <a:blip r:embed="rId19"/>
                    <a:srcRect l="16778" t="26277" r="10426" b="36649"/>
                    <a:stretch>
                      <a:fillRect/>
                    </a:stretch>
                  </pic:blipFill>
                  <pic:spPr>
                    <a:xfrm>
                      <a:off x="0" y="0"/>
                      <a:ext cx="3185160" cy="805180"/>
                    </a:xfrm>
                    <a:prstGeom prst="rect">
                      <a:avLst/>
                    </a:prstGeom>
                  </pic:spPr>
                </pic:pic>
              </a:graphicData>
            </a:graphic>
          </wp:inline>
        </w:drawing>
      </w:r>
    </w:p>
    <w:p>
      <w:pPr>
        <w:keepNext w:val="0"/>
        <w:keepLines w:val="0"/>
        <w:pageBreakBefore w:val="0"/>
        <w:widowControl/>
        <w:tabs>
          <w:tab w:val="left" w:pos="8568"/>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黑体" w:hAnsi="黑体" w:eastAsia="黑体" w:cs="黑体"/>
          <w:spacing w:val="-2"/>
          <w:kern w:val="0"/>
          <w:sz w:val="64"/>
          <w:szCs w:val="64"/>
        </w:rPr>
      </w:pPr>
      <w:commentRangeStart w:id="1"/>
      <w:r>
        <w:rPr>
          <w:rFonts w:hint="eastAsia" w:ascii="黑体" w:hAnsi="黑体" w:eastAsia="黑体" w:cs="黑体"/>
          <w:spacing w:val="-2"/>
          <w:kern w:val="0"/>
          <w:sz w:val="64"/>
          <w:szCs w:val="64"/>
        </w:rPr>
        <w:t>本科毕业论文</w:t>
      </w:r>
      <w:commentRangeEnd w:id="1"/>
      <w:r>
        <w:commentReference w:id="1"/>
      </w:r>
    </w:p>
    <w:p>
      <w:pPr>
        <w:tabs>
          <w:tab w:val="left" w:pos="8568"/>
        </w:tabs>
        <w:spacing w:after="326" w:afterLines="100"/>
        <w:ind w:firstLine="0" w:firstLineChars="0"/>
        <w:jc w:val="center"/>
        <w:rPr>
          <w:rFonts w:ascii="黑体" w:eastAsia="黑体" w:cs="Times New Roman"/>
          <w:sz w:val="36"/>
          <w:szCs w:val="36"/>
        </w:rPr>
      </w:pPr>
      <w:r>
        <w:commentReference w:id="2"/>
      </w:r>
    </w:p>
    <w:p>
      <w:pPr>
        <w:pStyle w:val="3"/>
        <w:keepNext w:val="0"/>
        <w:keepLines w:val="0"/>
        <w:pageBreakBefore w:val="0"/>
        <w:widowControl/>
        <w:tabs>
          <w:tab w:val="left" w:pos="8568"/>
        </w:tabs>
        <w:kinsoku/>
        <w:wordWrap/>
        <w:overflowPunct/>
        <w:topLinePunct w:val="0"/>
        <w:autoSpaceDE/>
        <w:autoSpaceDN/>
        <w:bidi w:val="0"/>
        <w:adjustRightInd/>
        <w:snapToGrid/>
        <w:spacing w:after="0"/>
        <w:ind w:firstLine="0" w:firstLineChars="0"/>
        <w:jc w:val="center"/>
        <w:textAlignment w:val="auto"/>
        <w:rPr>
          <w:rFonts w:hint="eastAsia" w:ascii="黑体" w:hAnsi="黑体" w:eastAsia="黑体" w:cs="黑体"/>
          <w:sz w:val="52"/>
          <w:szCs w:val="52"/>
        </w:rPr>
      </w:pPr>
      <w:bookmarkStart w:id="0" w:name="_Hlk480916135"/>
      <w:bookmarkStart w:id="1" w:name="_Hlk482370131"/>
      <w:commentRangeStart w:id="3"/>
      <w:r>
        <w:rPr>
          <w:rFonts w:hint="eastAsia" w:ascii="黑体" w:hAnsi="黑体" w:eastAsia="黑体" w:cs="黑体"/>
          <w:sz w:val="52"/>
          <w:szCs w:val="52"/>
        </w:rPr>
        <w:t>立讯精密工业股份有限公司营运资金管理的问题及对策分析</w:t>
      </w:r>
      <w:commentRangeEnd w:id="3"/>
      <w:r>
        <w:commentReference w:id="3"/>
      </w:r>
    </w:p>
    <w:bookmarkEnd w:id="0"/>
    <w:bookmarkEnd w:id="1"/>
    <w:p>
      <w:pPr>
        <w:pStyle w:val="3"/>
        <w:tabs>
          <w:tab w:val="left" w:pos="8568"/>
        </w:tabs>
        <w:spacing w:line="288" w:lineRule="auto"/>
        <w:ind w:firstLine="331" w:firstLineChars="169"/>
        <w:rPr>
          <w:rFonts w:eastAsia="黑体" w:cs="Times New Roman"/>
        </w:rPr>
      </w:pPr>
      <w:r>
        <w:rPr>
          <w:rFonts w:eastAsia="黑体"/>
        </w:rPr>
        <w:t xml:space="preserve">       </w:t>
      </w:r>
    </w:p>
    <w:p>
      <w:pPr>
        <w:pStyle w:val="3"/>
        <w:tabs>
          <w:tab w:val="left" w:pos="8568"/>
        </w:tabs>
        <w:spacing w:line="288" w:lineRule="auto"/>
        <w:ind w:firstLine="784"/>
        <w:rPr>
          <w:rFonts w:eastAsia="黑体" w:cs="Times New Roman"/>
        </w:rPr>
      </w:pPr>
      <w:r>
        <w:commentReference w:id="4"/>
      </w:r>
    </w:p>
    <w:p>
      <w:pPr>
        <w:pStyle w:val="3"/>
        <w:tabs>
          <w:tab w:val="left" w:pos="8568"/>
        </w:tabs>
        <w:spacing w:line="288" w:lineRule="auto"/>
        <w:ind w:firstLine="784"/>
        <w:rPr>
          <w:rFonts w:eastAsia="黑体" w:cs="Times New Roman"/>
          <w:color w:val="FF0000"/>
        </w:rPr>
      </w:pPr>
    </w:p>
    <w:tbl>
      <w:tblPr>
        <w:tblStyle w:val="25"/>
        <w:tblW w:w="5981" w:type="dxa"/>
        <w:jc w:val="center"/>
        <w:tblLayout w:type="fixed"/>
        <w:tblCellMar>
          <w:top w:w="0" w:type="dxa"/>
          <w:left w:w="108" w:type="dxa"/>
          <w:bottom w:w="0" w:type="dxa"/>
          <w:right w:w="108" w:type="dxa"/>
        </w:tblCellMar>
      </w:tblPr>
      <w:tblGrid>
        <w:gridCol w:w="1356"/>
        <w:gridCol w:w="4625"/>
      </w:tblGrid>
      <w:tr>
        <w:tblPrEx>
          <w:tblCellMar>
            <w:top w:w="0" w:type="dxa"/>
            <w:left w:w="108" w:type="dxa"/>
            <w:bottom w:w="0" w:type="dxa"/>
            <w:right w:w="108" w:type="dxa"/>
          </w:tblCellMar>
        </w:tblPrEx>
        <w:trPr>
          <w:trHeight w:val="567" w:hRule="atLeast"/>
          <w:jc w:val="center"/>
        </w:trPr>
        <w:tc>
          <w:tcPr>
            <w:tcW w:w="1356" w:type="dxa"/>
            <w:vAlign w:val="center"/>
          </w:tcPr>
          <w:p>
            <w:pPr>
              <w:pStyle w:val="3"/>
              <w:tabs>
                <w:tab w:val="left" w:pos="8568"/>
              </w:tabs>
              <w:spacing w:after="0" w:line="500" w:lineRule="exact"/>
              <w:ind w:firstLine="0" w:firstLineChars="0"/>
              <w:jc w:val="center"/>
              <w:rPr>
                <w:rFonts w:hint="eastAsia" w:ascii="黑体" w:hAnsi="黑体" w:eastAsia="黑体" w:cs="黑体"/>
                <w:sz w:val="28"/>
                <w:szCs w:val="28"/>
              </w:rPr>
            </w:pPr>
            <w:r>
              <w:rPr>
                <w:rFonts w:hint="eastAsia" w:ascii="黑体" w:hAnsi="黑体" w:eastAsia="黑体" w:cs="黑体"/>
                <w:sz w:val="28"/>
                <w:szCs w:val="28"/>
              </w:rPr>
              <w:t>院系名称</w:t>
            </w:r>
          </w:p>
        </w:tc>
        <w:tc>
          <w:tcPr>
            <w:tcW w:w="4625" w:type="dxa"/>
            <w:tcBorders>
              <w:bottom w:val="single" w:color="auto" w:sz="4" w:space="0"/>
            </w:tcBorders>
            <w:vAlign w:val="center"/>
          </w:tcPr>
          <w:p>
            <w:pPr>
              <w:pStyle w:val="3"/>
              <w:tabs>
                <w:tab w:val="left" w:pos="8568"/>
              </w:tabs>
              <w:spacing w:after="0" w:line="500" w:lineRule="exact"/>
              <w:ind w:firstLine="0" w:firstLineChars="0"/>
              <w:jc w:val="center"/>
              <w:rPr>
                <w:rFonts w:ascii="黑体" w:hAnsi="黑体" w:eastAsia="黑体" w:cs="Times New Roman"/>
                <w:sz w:val="28"/>
                <w:szCs w:val="28"/>
              </w:rPr>
            </w:pPr>
            <w:commentRangeStart w:id="5"/>
            <w:r>
              <w:rPr>
                <w:rFonts w:hint="eastAsia" w:ascii="黑体" w:hAnsi="黑体" w:eastAsia="黑体" w:cs="黑体"/>
                <w:sz w:val="28"/>
                <w:szCs w:val="28"/>
                <w:lang w:val="en-US" w:eastAsia="zh-CN"/>
              </w:rPr>
              <w:t>财税</w:t>
            </w:r>
            <w:r>
              <w:rPr>
                <w:rFonts w:hint="eastAsia" w:ascii="黑体" w:hAnsi="黑体" w:eastAsia="黑体" w:cs="黑体"/>
                <w:sz w:val="28"/>
                <w:szCs w:val="28"/>
              </w:rPr>
              <w:t>学院</w:t>
            </w:r>
            <w:commentRangeEnd w:id="5"/>
            <w:r>
              <w:commentReference w:id="5"/>
            </w:r>
          </w:p>
        </w:tc>
      </w:tr>
      <w:tr>
        <w:tblPrEx>
          <w:tblCellMar>
            <w:top w:w="0" w:type="dxa"/>
            <w:left w:w="108" w:type="dxa"/>
            <w:bottom w:w="0" w:type="dxa"/>
            <w:right w:w="108" w:type="dxa"/>
          </w:tblCellMar>
        </w:tblPrEx>
        <w:trPr>
          <w:trHeight w:val="567" w:hRule="atLeast"/>
          <w:jc w:val="center"/>
        </w:trPr>
        <w:tc>
          <w:tcPr>
            <w:tcW w:w="1356" w:type="dxa"/>
            <w:vAlign w:val="bottom"/>
          </w:tcPr>
          <w:p>
            <w:pPr>
              <w:pStyle w:val="3"/>
              <w:tabs>
                <w:tab w:val="left" w:pos="8568"/>
              </w:tabs>
              <w:spacing w:after="0" w:line="500" w:lineRule="exact"/>
              <w:ind w:firstLine="0" w:firstLineChars="0"/>
              <w:rPr>
                <w:rFonts w:hint="eastAsia" w:ascii="黑体" w:hAnsi="黑体" w:eastAsia="黑体" w:cs="黑体"/>
                <w:sz w:val="28"/>
                <w:szCs w:val="28"/>
              </w:rPr>
            </w:pPr>
            <w:r>
              <w:rPr>
                <w:rFonts w:hint="eastAsia" w:ascii="黑体" w:hAnsi="黑体" w:eastAsia="黑体" w:cs="黑体"/>
                <w:sz w:val="28"/>
                <w:szCs w:val="28"/>
              </w:rPr>
              <w:t>姓　　名</w:t>
            </w:r>
          </w:p>
        </w:tc>
        <w:tc>
          <w:tcPr>
            <w:tcW w:w="4625" w:type="dxa"/>
            <w:tcBorders>
              <w:bottom w:val="single" w:color="auto" w:sz="4" w:space="0"/>
            </w:tcBorders>
            <w:vAlign w:val="bottom"/>
          </w:tcPr>
          <w:p>
            <w:pPr>
              <w:pStyle w:val="3"/>
              <w:tabs>
                <w:tab w:val="left" w:pos="8568"/>
              </w:tabs>
              <w:spacing w:after="0" w:line="500" w:lineRule="exact"/>
              <w:ind w:firstLine="0" w:firstLineChars="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XX</w:t>
            </w:r>
            <w:bookmarkStart w:id="117" w:name="_GoBack"/>
            <w:bookmarkEnd w:id="117"/>
            <w:r>
              <w:rPr>
                <w:rFonts w:hint="eastAsia" w:ascii="黑体" w:hAnsi="黑体" w:eastAsia="黑体"/>
                <w:sz w:val="28"/>
                <w:szCs w:val="28"/>
                <w:lang w:val="en-US" w:eastAsia="zh-CN"/>
              </w:rPr>
              <w:t>X</w:t>
            </w:r>
          </w:p>
        </w:tc>
      </w:tr>
      <w:tr>
        <w:tblPrEx>
          <w:tblCellMar>
            <w:top w:w="0" w:type="dxa"/>
            <w:left w:w="108" w:type="dxa"/>
            <w:bottom w:w="0" w:type="dxa"/>
            <w:right w:w="108" w:type="dxa"/>
          </w:tblCellMar>
        </w:tblPrEx>
        <w:trPr>
          <w:trHeight w:val="567" w:hRule="atLeast"/>
          <w:jc w:val="center"/>
        </w:trPr>
        <w:tc>
          <w:tcPr>
            <w:tcW w:w="1356" w:type="dxa"/>
            <w:vAlign w:val="bottom"/>
          </w:tcPr>
          <w:p>
            <w:pPr>
              <w:pStyle w:val="3"/>
              <w:tabs>
                <w:tab w:val="left" w:pos="8568"/>
              </w:tabs>
              <w:spacing w:after="0" w:line="500" w:lineRule="exact"/>
              <w:ind w:firstLine="0" w:firstLineChars="0"/>
              <w:rPr>
                <w:rFonts w:hint="eastAsia" w:ascii="黑体" w:hAnsi="黑体" w:eastAsia="黑体" w:cs="黑体"/>
                <w:sz w:val="28"/>
                <w:szCs w:val="28"/>
              </w:rPr>
            </w:pPr>
            <w:r>
              <w:rPr>
                <w:rFonts w:hint="eastAsia" w:ascii="黑体" w:hAnsi="黑体" w:eastAsia="黑体" w:cs="黑体"/>
                <w:sz w:val="28"/>
                <w:szCs w:val="28"/>
              </w:rPr>
              <w:t>学　　号</w:t>
            </w:r>
          </w:p>
        </w:tc>
        <w:tc>
          <w:tcPr>
            <w:tcW w:w="4625" w:type="dxa"/>
            <w:tcBorders>
              <w:top w:val="single" w:color="auto" w:sz="4" w:space="0"/>
              <w:bottom w:val="single" w:color="auto" w:sz="4" w:space="0"/>
            </w:tcBorders>
            <w:vAlign w:val="bottom"/>
          </w:tcPr>
          <w:p>
            <w:pPr>
              <w:pStyle w:val="3"/>
              <w:tabs>
                <w:tab w:val="left" w:pos="8568"/>
              </w:tabs>
              <w:spacing w:after="0" w:line="500" w:lineRule="exact"/>
              <w:ind w:firstLine="0" w:firstLineChars="0"/>
              <w:jc w:val="center"/>
              <w:rPr>
                <w:rFonts w:hint="default" w:ascii="黑体" w:hAnsi="黑体" w:eastAsia="黑体" w:cs="黑体"/>
                <w:sz w:val="28"/>
                <w:szCs w:val="28"/>
                <w:lang w:val="en-US" w:eastAsia="zh-CN"/>
              </w:rPr>
            </w:pPr>
            <w:r>
              <w:rPr>
                <w:rFonts w:ascii="黑体" w:hAnsi="黑体" w:eastAsia="黑体" w:cs="黑体"/>
                <w:sz w:val="28"/>
                <w:szCs w:val="28"/>
              </w:rPr>
              <w:t>1</w:t>
            </w:r>
            <w:r>
              <w:rPr>
                <w:rFonts w:hint="eastAsia" w:ascii="黑体" w:hAnsi="黑体" w:eastAsia="黑体" w:cs="黑体"/>
                <w:sz w:val="28"/>
                <w:szCs w:val="28"/>
                <w:lang w:val="en-US" w:eastAsia="zh-CN"/>
              </w:rPr>
              <w:t>70511020000</w:t>
            </w:r>
          </w:p>
        </w:tc>
      </w:tr>
      <w:tr>
        <w:tblPrEx>
          <w:tblCellMar>
            <w:top w:w="0" w:type="dxa"/>
            <w:left w:w="108" w:type="dxa"/>
            <w:bottom w:w="0" w:type="dxa"/>
            <w:right w:w="108" w:type="dxa"/>
          </w:tblCellMar>
        </w:tblPrEx>
        <w:trPr>
          <w:trHeight w:val="567" w:hRule="atLeast"/>
          <w:jc w:val="center"/>
        </w:trPr>
        <w:tc>
          <w:tcPr>
            <w:tcW w:w="1356" w:type="dxa"/>
            <w:vAlign w:val="bottom"/>
          </w:tcPr>
          <w:p>
            <w:pPr>
              <w:pStyle w:val="3"/>
              <w:tabs>
                <w:tab w:val="left" w:pos="8568"/>
              </w:tabs>
              <w:spacing w:after="0" w:line="500" w:lineRule="exact"/>
              <w:ind w:firstLine="0" w:firstLineChars="0"/>
              <w:rPr>
                <w:rFonts w:hint="eastAsia" w:ascii="黑体" w:hAnsi="黑体" w:eastAsia="黑体" w:cs="黑体"/>
                <w:sz w:val="28"/>
                <w:szCs w:val="28"/>
              </w:rPr>
            </w:pPr>
            <w:r>
              <w:rPr>
                <w:rFonts w:hint="eastAsia" w:ascii="黑体" w:hAnsi="黑体" w:eastAsia="黑体" w:cs="黑体"/>
                <w:sz w:val="28"/>
                <w:szCs w:val="28"/>
              </w:rPr>
              <w:t>专　　业</w:t>
            </w:r>
          </w:p>
        </w:tc>
        <w:tc>
          <w:tcPr>
            <w:tcW w:w="4625" w:type="dxa"/>
            <w:tcBorders>
              <w:top w:val="single" w:color="auto" w:sz="4" w:space="0"/>
              <w:bottom w:val="single" w:color="auto" w:sz="4" w:space="0"/>
            </w:tcBorders>
            <w:vAlign w:val="bottom"/>
          </w:tcPr>
          <w:p>
            <w:pPr>
              <w:pStyle w:val="3"/>
              <w:tabs>
                <w:tab w:val="left" w:pos="8568"/>
              </w:tabs>
              <w:spacing w:after="0" w:line="500" w:lineRule="exact"/>
              <w:ind w:firstLine="0" w:firstLineChars="0"/>
              <w:jc w:val="center"/>
              <w:rPr>
                <w:rFonts w:ascii="黑体" w:hAnsi="黑体" w:eastAsia="黑体"/>
                <w:sz w:val="28"/>
                <w:szCs w:val="28"/>
              </w:rPr>
            </w:pPr>
            <w:r>
              <w:rPr>
                <w:rFonts w:hint="eastAsia" w:ascii="黑体" w:hAnsi="黑体" w:eastAsia="黑体" w:cs="黑体"/>
                <w:sz w:val="28"/>
                <w:szCs w:val="28"/>
              </w:rPr>
              <w:t>会计学</w:t>
            </w:r>
          </w:p>
        </w:tc>
      </w:tr>
      <w:tr>
        <w:tblPrEx>
          <w:tblCellMar>
            <w:top w:w="0" w:type="dxa"/>
            <w:left w:w="108" w:type="dxa"/>
            <w:bottom w:w="0" w:type="dxa"/>
            <w:right w:w="108" w:type="dxa"/>
          </w:tblCellMar>
        </w:tblPrEx>
        <w:trPr>
          <w:trHeight w:val="567" w:hRule="atLeast"/>
          <w:jc w:val="center"/>
        </w:trPr>
        <w:tc>
          <w:tcPr>
            <w:tcW w:w="1356" w:type="dxa"/>
            <w:vAlign w:val="bottom"/>
          </w:tcPr>
          <w:p>
            <w:pPr>
              <w:pStyle w:val="3"/>
              <w:tabs>
                <w:tab w:val="left" w:pos="8568"/>
              </w:tabs>
              <w:spacing w:after="0" w:line="500" w:lineRule="exact"/>
              <w:ind w:firstLine="0" w:firstLineChars="0"/>
              <w:rPr>
                <w:rFonts w:hint="eastAsia" w:ascii="黑体" w:hAnsi="黑体" w:eastAsia="黑体" w:cs="黑体"/>
                <w:sz w:val="28"/>
                <w:szCs w:val="28"/>
              </w:rPr>
            </w:pPr>
            <w:r>
              <w:rPr>
                <w:rFonts w:hint="eastAsia" w:ascii="黑体" w:hAnsi="黑体" w:eastAsia="黑体" w:cs="黑体"/>
                <w:sz w:val="28"/>
                <w:szCs w:val="28"/>
              </w:rPr>
              <w:t>指导教师</w:t>
            </w:r>
          </w:p>
        </w:tc>
        <w:tc>
          <w:tcPr>
            <w:tcW w:w="4625" w:type="dxa"/>
            <w:tcBorders>
              <w:top w:val="single" w:color="auto" w:sz="4" w:space="0"/>
              <w:bottom w:val="single" w:color="auto" w:sz="4" w:space="0"/>
            </w:tcBorders>
            <w:vAlign w:val="bottom"/>
          </w:tcPr>
          <w:p>
            <w:pPr>
              <w:pStyle w:val="3"/>
              <w:tabs>
                <w:tab w:val="left" w:pos="8568"/>
              </w:tabs>
              <w:spacing w:after="0" w:line="500" w:lineRule="exact"/>
              <w:ind w:firstLine="0" w:firstLineChars="0"/>
              <w:jc w:val="center"/>
              <w:rPr>
                <w:rFonts w:hint="default" w:eastAsia="黑体"/>
                <w:sz w:val="28"/>
                <w:szCs w:val="28"/>
                <w:lang w:val="en-US" w:eastAsia="zh-CN"/>
              </w:rPr>
            </w:pPr>
            <w:r>
              <w:rPr>
                <w:rFonts w:hint="eastAsia" w:ascii="黑体" w:hAnsi="黑体" w:eastAsia="黑体"/>
                <w:sz w:val="28"/>
                <w:szCs w:val="28"/>
                <w:lang w:val="en-US" w:eastAsia="zh-CN"/>
              </w:rPr>
              <w:t>XXX</w:t>
            </w:r>
          </w:p>
        </w:tc>
      </w:tr>
    </w:tbl>
    <w:p>
      <w:pPr>
        <w:pStyle w:val="3"/>
        <w:tabs>
          <w:tab w:val="left" w:pos="8568"/>
        </w:tabs>
        <w:spacing w:line="288" w:lineRule="auto"/>
        <w:ind w:left="0" w:leftChars="0" w:firstLine="0" w:firstLineChars="0"/>
        <w:rPr>
          <w:rFonts w:eastAsia="黑体"/>
        </w:rPr>
      </w:pPr>
    </w:p>
    <w:p>
      <w:pPr>
        <w:pStyle w:val="3"/>
        <w:tabs>
          <w:tab w:val="left" w:pos="8568"/>
        </w:tabs>
        <w:spacing w:line="288" w:lineRule="auto"/>
        <w:ind w:firstLine="784"/>
        <w:rPr>
          <w:rFonts w:eastAsia="黑体"/>
        </w:rPr>
      </w:pPr>
    </w:p>
    <w:p>
      <w:pPr>
        <w:pStyle w:val="3"/>
        <w:keepNext w:val="0"/>
        <w:keepLines w:val="0"/>
        <w:pageBreakBefore w:val="0"/>
        <w:widowControl/>
        <w:tabs>
          <w:tab w:val="left" w:pos="8568"/>
        </w:tabs>
        <w:kinsoku/>
        <w:wordWrap/>
        <w:overflowPunct/>
        <w:topLinePunct w:val="0"/>
        <w:autoSpaceDE/>
        <w:autoSpaceDN/>
        <w:bidi w:val="0"/>
        <w:adjustRightInd/>
        <w:snapToGrid/>
        <w:spacing w:after="0" w:line="288" w:lineRule="auto"/>
        <w:ind w:firstLine="0" w:firstLineChars="0"/>
        <w:jc w:val="center"/>
        <w:textAlignment w:val="auto"/>
        <w:rPr>
          <w:rFonts w:eastAsia="楷体_GB2312"/>
          <w:sz w:val="28"/>
          <w:szCs w:val="28"/>
        </w:rPr>
      </w:pPr>
      <w:r>
        <w:rPr>
          <w:rFonts w:eastAsia="楷体_GB2312"/>
          <w:sz w:val="28"/>
          <w:szCs w:val="28"/>
        </w:rPr>
        <w:t xml:space="preserve">      </w:t>
      </w:r>
      <w:commentRangeStart w:id="6"/>
      <w:r>
        <w:rPr>
          <w:rFonts w:eastAsia="楷体_GB2312"/>
          <w:sz w:val="28"/>
          <w:szCs w:val="28"/>
        </w:rPr>
        <w:t>20</w:t>
      </w:r>
      <w:r>
        <w:rPr>
          <w:rFonts w:hint="eastAsia" w:eastAsia="楷体_GB2312"/>
          <w:sz w:val="28"/>
          <w:szCs w:val="28"/>
          <w:lang w:val="en-US" w:eastAsia="zh-CN"/>
        </w:rPr>
        <w:t>21</w:t>
      </w:r>
      <w:commentRangeEnd w:id="6"/>
      <w:r>
        <w:commentReference w:id="6"/>
      </w:r>
      <w:r>
        <w:rPr>
          <w:rFonts w:hint="eastAsia" w:eastAsia="楷体_GB2312" w:cs="楷体_GB2312"/>
          <w:sz w:val="28"/>
          <w:szCs w:val="28"/>
        </w:rPr>
        <w:t>年</w:t>
      </w:r>
      <w:r>
        <w:rPr>
          <w:rFonts w:eastAsia="楷体_GB2312"/>
          <w:sz w:val="28"/>
          <w:szCs w:val="28"/>
        </w:rPr>
        <w:t>4</w:t>
      </w:r>
      <w:r>
        <w:rPr>
          <w:rFonts w:hint="eastAsia" w:eastAsia="楷体_GB2312" w:cs="楷体_GB2312"/>
          <w:sz w:val="28"/>
          <w:szCs w:val="28"/>
        </w:rPr>
        <w:t>月</w:t>
      </w:r>
      <w:r>
        <w:rPr>
          <w:rFonts w:hint="eastAsia" w:eastAsia="楷体_GB2312"/>
          <w:sz w:val="28"/>
          <w:szCs w:val="28"/>
          <w:lang w:val="en-US" w:eastAsia="zh-CN"/>
        </w:rPr>
        <w:t>22</w:t>
      </w:r>
      <w:commentRangeStart w:id="7"/>
      <w:r>
        <w:rPr>
          <w:rFonts w:hint="eastAsia" w:eastAsia="楷体_GB2312" w:cs="楷体_GB2312"/>
          <w:sz w:val="28"/>
          <w:szCs w:val="28"/>
        </w:rPr>
        <w:t>日</w:t>
      </w:r>
      <w:commentRangeEnd w:id="7"/>
      <w:r>
        <w:commentReference w:id="7"/>
      </w:r>
    </w:p>
    <w:p>
      <w:pPr>
        <w:tabs>
          <w:tab w:val="left" w:pos="6345"/>
          <w:tab w:val="clear" w:pos="8640"/>
        </w:tabs>
        <w:ind w:firstLine="0" w:firstLineChars="0"/>
        <w:sectPr>
          <w:headerReference r:id="rId9" w:type="first"/>
          <w:footerReference r:id="rId12" w:type="first"/>
          <w:headerReference r:id="rId7" w:type="default"/>
          <w:footerReference r:id="rId10" w:type="default"/>
          <w:headerReference r:id="rId8" w:type="even"/>
          <w:footerReference r:id="rId11" w:type="even"/>
          <w:pgSz w:w="11907" w:h="16840"/>
          <w:pgMar w:top="1701" w:right="1418" w:bottom="1701" w:left="1418" w:header="1247" w:footer="1247" w:gutter="0"/>
          <w:pgNumType w:fmt="decimal"/>
          <w:cols w:space="720" w:num="1"/>
          <w:titlePg/>
          <w:docGrid w:type="lines" w:linePitch="326" w:charSpace="0"/>
        </w:sectPr>
      </w:pPr>
    </w:p>
    <w:p>
      <w:pPr>
        <w:pStyle w:val="3"/>
        <w:keepNext w:val="0"/>
        <w:keepLines w:val="0"/>
        <w:pageBreakBefore w:val="0"/>
        <w:widowControl/>
        <w:tabs>
          <w:tab w:val="left" w:pos="8568"/>
        </w:tabs>
        <w:kinsoku/>
        <w:wordWrap/>
        <w:overflowPunct/>
        <w:topLinePunct w:val="0"/>
        <w:autoSpaceDE/>
        <w:autoSpaceDN/>
        <w:bidi w:val="0"/>
        <w:adjustRightInd/>
        <w:snapToGrid/>
        <w:spacing w:after="0" w:line="720" w:lineRule="auto"/>
        <w:ind w:firstLine="0" w:firstLineChars="0"/>
        <w:jc w:val="center"/>
        <w:textAlignment w:val="auto"/>
        <w:rPr>
          <w:rFonts w:hint="eastAsia" w:ascii="黑体" w:hAnsi="黑体" w:eastAsia="黑体" w:cs="黑体"/>
          <w:sz w:val="32"/>
          <w:szCs w:val="32"/>
          <w:lang w:eastAsia="zh-CN"/>
        </w:rPr>
      </w:pPr>
      <w:commentRangeStart w:id="8"/>
      <w:r>
        <w:rPr>
          <w:rFonts w:hint="eastAsia" w:ascii="黑体" w:hAnsi="黑体" w:eastAsia="黑体" w:cs="黑体"/>
          <w:sz w:val="32"/>
          <w:szCs w:val="32"/>
        </w:rPr>
        <w:t>立</w:t>
      </w:r>
      <w:r>
        <w:rPr>
          <w:rFonts w:hint="eastAsia" w:ascii="黑体" w:hAnsi="黑体" w:eastAsia="黑体" w:cs="黑体"/>
          <w:b w:val="0"/>
          <w:bCs w:val="0"/>
          <w:sz w:val="32"/>
          <w:szCs w:val="32"/>
        </w:rPr>
        <w:t>讯精密</w:t>
      </w:r>
      <w:r>
        <w:rPr>
          <w:rFonts w:hint="eastAsia" w:ascii="黑体" w:hAnsi="黑体" w:eastAsia="黑体" w:cs="黑体"/>
          <w:sz w:val="32"/>
          <w:szCs w:val="32"/>
        </w:rPr>
        <w:t>工业股份有限公司营运资金管理的问题及对策分析</w:t>
      </w:r>
      <w:commentRangeEnd w:id="8"/>
      <w:r>
        <w:commentReference w:id="8"/>
      </w:r>
    </w:p>
    <w:p>
      <w:pPr>
        <w:keepNext w:val="0"/>
        <w:keepLines w:val="0"/>
        <w:pageBreakBefore w:val="0"/>
        <w:widowControl/>
        <w:kinsoku/>
        <w:wordWrap/>
        <w:overflowPunct/>
        <w:topLinePunct w:val="0"/>
        <w:autoSpaceDE/>
        <w:autoSpaceDN/>
        <w:bidi w:val="0"/>
        <w:adjustRightInd/>
        <w:snapToGrid/>
        <w:spacing w:line="360" w:lineRule="auto"/>
        <w:ind w:firstLine="474" w:firstLineChars="200"/>
        <w:textAlignment w:val="auto"/>
        <w:rPr>
          <w:rFonts w:hint="eastAsia" w:ascii="宋体" w:hAnsi="宋体" w:cs="宋体"/>
          <w:highlight w:val="none"/>
        </w:rPr>
      </w:pPr>
      <w:commentRangeStart w:id="9"/>
      <w:r>
        <w:rPr>
          <w:rFonts w:hint="eastAsia" w:ascii="宋体" w:hAnsi="宋体" w:eastAsia="宋体" w:cs="宋体"/>
          <w:b/>
          <w:bCs/>
          <w:lang w:eastAsia="zh-CN"/>
        </w:rPr>
        <w:t>摘要</w:t>
      </w:r>
      <w:r>
        <w:rPr>
          <w:rFonts w:hint="eastAsia" w:ascii="宋体" w:hAnsi="宋体" w:cs="宋体"/>
          <w:b/>
          <w:bCs/>
        </w:rPr>
        <w:t>：</w:t>
      </w:r>
      <w:commentRangeEnd w:id="9"/>
      <w:r>
        <w:commentReference w:id="9"/>
      </w:r>
      <w:r>
        <w:rPr>
          <w:rFonts w:hint="eastAsia" w:ascii="宋体" w:hAnsi="宋体" w:cs="宋体"/>
          <w:highlight w:val="none"/>
        </w:rPr>
        <w:t>营运资金管理是企业管理的核心组成</w:t>
      </w:r>
      <w:r>
        <w:rPr>
          <w:rFonts w:hint="eastAsia" w:ascii="宋体" w:hAnsi="宋体" w:cs="宋体"/>
          <w:highlight w:val="none"/>
          <w:lang w:eastAsia="zh-CN"/>
        </w:rPr>
        <w:t>，</w:t>
      </w:r>
      <w:r>
        <w:rPr>
          <w:rFonts w:hint="eastAsia" w:ascii="宋体" w:hAnsi="宋体" w:cs="宋体"/>
          <w:highlight w:val="none"/>
          <w:lang w:val="en-US" w:eastAsia="zh-CN"/>
        </w:rPr>
        <w:t>其规模大小、实际效率、以及采用的管理方法对企业管理者和市场投资者有着重要的参考作用。因此，企业决策者应重视营运资金管理问题，以便提高企业经济利润。</w:t>
      </w:r>
      <w:r>
        <w:rPr>
          <w:rFonts w:hint="eastAsia" w:ascii="宋体" w:hAnsi="宋体" w:cs="宋体"/>
          <w:highlight w:val="none"/>
        </w:rPr>
        <w:t>本文主要采用文献研究法、案例分析法来研究营运资金管理。首先，</w:t>
      </w:r>
      <w:r>
        <w:rPr>
          <w:rFonts w:hint="eastAsia" w:ascii="宋体" w:hAnsi="宋体" w:cs="宋体"/>
          <w:highlight w:val="none"/>
          <w:lang w:val="en-US" w:eastAsia="zh-CN"/>
        </w:rPr>
        <w:t>对相关文献进行分类整理并对营运资金相关概念进行总结。其次，以立讯精密工业股份有限公司为实际案例，从要素理论和渠道理论对其财务报告营运资金管理数据进行分析整理，例如：对</w:t>
      </w:r>
      <w:r>
        <w:rPr>
          <w:rFonts w:hint="eastAsia" w:ascii="宋体" w:hAnsi="宋体" w:cs="宋体"/>
          <w:highlight w:val="none"/>
        </w:rPr>
        <w:t>应收账款、存货、应付账款周转期和周转速度</w:t>
      </w:r>
      <w:r>
        <w:rPr>
          <w:rFonts w:hint="eastAsia" w:ascii="宋体" w:hAnsi="宋体" w:cs="宋体"/>
          <w:highlight w:val="none"/>
          <w:lang w:val="en-US" w:eastAsia="zh-CN"/>
        </w:rPr>
        <w:t>的要素分析以及对企业生产经营中采购、生产和销售渠道的分析。</w:t>
      </w:r>
      <w:commentRangeStart w:id="10"/>
      <w:r>
        <w:rPr>
          <w:rFonts w:hint="eastAsia" w:ascii="宋体" w:hAnsi="宋体" w:cs="宋体"/>
          <w:highlight w:val="none"/>
          <w:lang w:val="en-US" w:eastAsia="zh-CN"/>
        </w:rPr>
        <w:t>最后，</w:t>
      </w:r>
      <w:commentRangeEnd w:id="10"/>
      <w:r>
        <w:commentReference w:id="10"/>
      </w:r>
      <w:r>
        <w:rPr>
          <w:rFonts w:hint="eastAsia" w:ascii="宋体" w:hAnsi="宋体" w:cs="宋体"/>
          <w:highlight w:val="none"/>
          <w:lang w:val="en-US" w:eastAsia="zh-CN"/>
        </w:rPr>
        <w:t>由分析数据得出资金运营管理当下存在的问题，并提供优化建议，如</w:t>
      </w:r>
      <w:r>
        <w:rPr>
          <w:rFonts w:hint="eastAsia" w:ascii="宋体" w:hAnsi="宋体" w:eastAsia="宋体" w:cs="宋体"/>
          <w:sz w:val="24"/>
          <w:szCs w:val="24"/>
          <w:lang w:val="en-US" w:eastAsia="zh-CN"/>
        </w:rPr>
        <w:t>与供应商建立良好战略合作关系，增加柔性化和精细运作模式，加强智能产品与新兴技术的研发，设立商业信用管理部门等</w:t>
      </w:r>
      <w:r>
        <w:rPr>
          <w:rFonts w:hint="eastAsia" w:ascii="宋体" w:hAnsi="宋体" w:cs="宋体"/>
          <w:highlight w:val="none"/>
          <w:lang w:val="en-US" w:eastAsia="zh-CN"/>
        </w:rPr>
        <w:t>。</w:t>
      </w:r>
      <w:r>
        <w:rPr>
          <w:rFonts w:hint="eastAsia" w:ascii="宋体" w:hAnsi="宋体" w:cs="宋体"/>
          <w:highlight w:val="non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74" w:firstLineChars="200"/>
        <w:jc w:val="both"/>
        <w:textAlignment w:val="auto"/>
        <w:rPr>
          <w:rFonts w:hint="eastAsia" w:ascii="宋体" w:hAnsi="宋体" w:eastAsia="宋体" w:cs="宋体"/>
        </w:rPr>
      </w:pPr>
      <w:r>
        <w:rPr>
          <w:rFonts w:hint="eastAsia" w:ascii="宋体" w:hAnsi="宋体" w:cs="宋体"/>
          <w:b/>
          <w:bCs/>
        </w:rPr>
        <w:t>关键词：</w:t>
      </w:r>
      <w:r>
        <w:rPr>
          <w:rFonts w:hint="eastAsia" w:ascii="宋体" w:hAnsi="宋体" w:cs="宋体"/>
          <w:lang w:val="en-US" w:eastAsia="zh-CN"/>
        </w:rPr>
        <w:t>营运资金；营运资金管理</w:t>
      </w:r>
      <w:r>
        <w:rPr>
          <w:rFonts w:hint="eastAsia" w:ascii="宋体" w:hAnsi="宋体" w:eastAsia="宋体" w:cs="宋体"/>
        </w:rPr>
        <w:t>；</w:t>
      </w:r>
      <w:r>
        <w:rPr>
          <w:rFonts w:hint="eastAsia" w:ascii="宋体" w:hAnsi="宋体" w:cs="宋体"/>
          <w:lang w:val="en-US" w:eastAsia="zh-CN"/>
        </w:rPr>
        <w:t>要素管理</w:t>
      </w:r>
      <w:r>
        <w:rPr>
          <w:rFonts w:hint="eastAsia" w:ascii="宋体" w:hAnsi="宋体" w:eastAsia="宋体" w:cs="宋体"/>
        </w:rPr>
        <w:t>；</w:t>
      </w:r>
      <w:commentRangeStart w:id="11"/>
      <w:r>
        <w:rPr>
          <w:rFonts w:hint="eastAsia" w:ascii="宋体" w:hAnsi="宋体" w:cs="宋体"/>
          <w:lang w:val="en-US" w:eastAsia="zh-CN"/>
        </w:rPr>
        <w:t>渠道管理</w:t>
      </w:r>
      <w:commentRangeEnd w:id="11"/>
      <w:r>
        <w:commentReference w:id="11"/>
      </w:r>
    </w:p>
    <w:p>
      <w:pPr>
        <w:keepNext w:val="0"/>
        <w:keepLines w:val="0"/>
        <w:pageBreakBefore w:val="0"/>
        <w:widowControl/>
        <w:tabs>
          <w:tab w:val="clear" w:pos="8640"/>
        </w:tabs>
        <w:kinsoku/>
        <w:wordWrap/>
        <w:overflowPunct/>
        <w:topLinePunct w:val="0"/>
        <w:autoSpaceDE/>
        <w:autoSpaceDN/>
        <w:bidi w:val="0"/>
        <w:adjustRightInd/>
        <w:snapToGrid/>
        <w:spacing w:line="720" w:lineRule="auto"/>
        <w:ind w:firstLine="0" w:firstLineChars="0"/>
        <w:jc w:val="center"/>
        <w:textAlignment w:val="auto"/>
        <w:rPr>
          <w:rFonts w:hint="default" w:ascii="Times New Roman" w:hAnsi="Times New Roman" w:eastAsia="宋体" w:cs="Times New Roman"/>
          <w:b/>
          <w:bCs/>
          <w:sz w:val="32"/>
          <w:szCs w:val="32"/>
        </w:rPr>
      </w:pPr>
      <w:r>
        <w:rPr>
          <w:rFonts w:ascii="宋体"/>
        </w:rPr>
        <w:br w:type="page"/>
      </w:r>
      <w:commentRangeStart w:id="12"/>
      <w:r>
        <w:rPr>
          <w:rFonts w:hint="default" w:ascii="Times New Roman" w:hAnsi="Times New Roman" w:eastAsia="宋体" w:cs="Times New Roman"/>
          <w:b/>
          <w:bCs/>
          <w:sz w:val="32"/>
          <w:szCs w:val="32"/>
        </w:rPr>
        <w:t>Analysis on the </w:t>
      </w:r>
      <w:r>
        <w:rPr>
          <w:rFonts w:hint="eastAsia" w:ascii="Times New Roman" w:hAnsi="Times New Roman" w:cs="Times New Roman"/>
          <w:b/>
          <w:bCs/>
          <w:sz w:val="32"/>
          <w:szCs w:val="32"/>
          <w:lang w:val="en-US" w:eastAsia="zh-CN"/>
        </w:rPr>
        <w:t>P</w:t>
      </w:r>
      <w:r>
        <w:rPr>
          <w:rFonts w:hint="default" w:ascii="Times New Roman" w:hAnsi="Times New Roman" w:eastAsia="宋体" w:cs="Times New Roman"/>
          <w:b/>
          <w:bCs/>
          <w:sz w:val="32"/>
          <w:szCs w:val="32"/>
        </w:rPr>
        <w:t>roblems and </w:t>
      </w:r>
      <w:r>
        <w:rPr>
          <w:rFonts w:hint="eastAsia" w:ascii="Times New Roman" w:hAnsi="Times New Roman" w:cs="Times New Roman"/>
          <w:b/>
          <w:bCs/>
          <w:sz w:val="32"/>
          <w:szCs w:val="32"/>
          <w:lang w:val="en-US" w:eastAsia="zh-CN"/>
        </w:rPr>
        <w:t>C</w:t>
      </w:r>
      <w:r>
        <w:rPr>
          <w:rFonts w:hint="default" w:ascii="Times New Roman" w:hAnsi="Times New Roman" w:eastAsia="宋体" w:cs="Times New Roman"/>
          <w:b/>
          <w:bCs/>
          <w:sz w:val="32"/>
          <w:szCs w:val="32"/>
        </w:rPr>
        <w:t>ountermeasures of </w:t>
      </w:r>
      <w:r>
        <w:rPr>
          <w:rFonts w:hint="eastAsia" w:ascii="Times New Roman" w:hAnsi="Times New Roman" w:cs="Times New Roman"/>
          <w:b/>
          <w:bCs/>
          <w:sz w:val="32"/>
          <w:szCs w:val="32"/>
          <w:lang w:val="en-US" w:eastAsia="zh-CN"/>
        </w:rPr>
        <w:t>W</w:t>
      </w:r>
      <w:r>
        <w:rPr>
          <w:rFonts w:hint="default" w:ascii="Times New Roman" w:hAnsi="Times New Roman" w:eastAsia="宋体" w:cs="Times New Roman"/>
          <w:b/>
          <w:bCs/>
          <w:sz w:val="32"/>
          <w:szCs w:val="32"/>
        </w:rPr>
        <w:t>orking</w:t>
      </w:r>
    </w:p>
    <w:p>
      <w:pPr>
        <w:keepNext w:val="0"/>
        <w:keepLines w:val="0"/>
        <w:pageBreakBefore w:val="0"/>
        <w:widowControl/>
        <w:tabs>
          <w:tab w:val="clear" w:pos="8640"/>
        </w:tabs>
        <w:kinsoku/>
        <w:wordWrap/>
        <w:overflowPunct/>
        <w:topLinePunct w:val="0"/>
        <w:autoSpaceDE/>
        <w:autoSpaceDN/>
        <w:bidi w:val="0"/>
        <w:adjustRightInd/>
        <w:snapToGrid/>
        <w:spacing w:line="720" w:lineRule="auto"/>
        <w:ind w:firstLine="0" w:firstLineChars="0"/>
        <w:jc w:val="center"/>
        <w:textAlignment w:val="auto"/>
        <w:rPr>
          <w:rFonts w:hint="default" w:ascii="Times New Roman" w:hAnsi="Times New Roman" w:eastAsia="宋体" w:cs="Times New Roman"/>
          <w:b/>
          <w:bCs/>
          <w:sz w:val="32"/>
          <w:szCs w:val="32"/>
        </w:rPr>
      </w:pPr>
      <w:r>
        <w:rPr>
          <w:rFonts w:hint="eastAsia" w:ascii="Times New Roman" w:hAnsi="Times New Roman" w:cs="Times New Roman"/>
          <w:b/>
          <w:bCs/>
          <w:sz w:val="32"/>
          <w:szCs w:val="32"/>
          <w:lang w:val="en-US" w:eastAsia="zh-CN"/>
        </w:rPr>
        <w:t>C</w:t>
      </w:r>
      <w:r>
        <w:rPr>
          <w:rFonts w:hint="default" w:ascii="Times New Roman" w:hAnsi="Times New Roman" w:eastAsia="宋体" w:cs="Times New Roman"/>
          <w:b/>
          <w:bCs/>
          <w:sz w:val="32"/>
          <w:szCs w:val="32"/>
        </w:rPr>
        <w:t>apital </w:t>
      </w:r>
      <w:r>
        <w:rPr>
          <w:rFonts w:hint="eastAsia" w:ascii="Times New Roman" w:hAnsi="Times New Roman" w:cs="Times New Roman"/>
          <w:b/>
          <w:bCs/>
          <w:sz w:val="32"/>
          <w:szCs w:val="32"/>
          <w:lang w:val="en-US" w:eastAsia="zh-CN"/>
        </w:rPr>
        <w:t>M</w:t>
      </w:r>
      <w:r>
        <w:rPr>
          <w:rFonts w:hint="default" w:ascii="Times New Roman" w:hAnsi="Times New Roman" w:eastAsia="宋体" w:cs="Times New Roman"/>
          <w:b/>
          <w:bCs/>
          <w:sz w:val="32"/>
          <w:szCs w:val="32"/>
        </w:rPr>
        <w:t>anagement of Luxshare Precision Industry Co., Ltd</w:t>
      </w:r>
      <w:commentRangeEnd w:id="12"/>
      <w:r>
        <w:commentReference w:id="12"/>
      </w:r>
    </w:p>
    <w:p>
      <w:pPr>
        <w:keepNext w:val="0"/>
        <w:keepLines w:val="0"/>
        <w:pageBreakBefore w:val="0"/>
        <w:widowControl/>
        <w:kinsoku/>
        <w:wordWrap/>
        <w:overflowPunct/>
        <w:topLinePunct w:val="0"/>
        <w:autoSpaceDE/>
        <w:autoSpaceDN/>
        <w:bidi w:val="0"/>
        <w:adjustRightInd/>
        <w:snapToGrid/>
        <w:spacing w:line="360" w:lineRule="auto"/>
        <w:ind w:firstLine="474" w:firstLineChars="200"/>
        <w:textAlignment w:val="auto"/>
        <w:rPr>
          <w:rFonts w:hint="eastAsia" w:ascii="Times New Roman" w:hAnsi="Times New Roman" w:eastAsia="黑体" w:cs="Times New Roman"/>
          <w:lang w:val="en-US" w:eastAsia="zh-CN"/>
        </w:rPr>
      </w:pPr>
      <w:commentRangeStart w:id="13"/>
      <w:r>
        <w:rPr>
          <w:rFonts w:hint="default" w:ascii="Times New Roman" w:hAnsi="Times New Roman" w:eastAsia="黑体" w:cs="Times New Roman"/>
          <w:b/>
          <w:bCs/>
          <w:sz w:val="24"/>
          <w:szCs w:val="24"/>
        </w:rPr>
        <w:t>Abstract:</w:t>
      </w:r>
      <w:commentRangeEnd w:id="13"/>
      <w:r>
        <w:commentReference w:id="13"/>
      </w:r>
      <w:r>
        <w:rPr>
          <w:rFonts w:hint="default" w:ascii="Times New Roman" w:hAnsi="Times New Roman" w:eastAsia="黑体" w:cs="Times New Roman"/>
          <w:b/>
          <w:bCs/>
          <w:sz w:val="24"/>
          <w:szCs w:val="24"/>
        </w:rPr>
        <w:t xml:space="preserve"> </w:t>
      </w:r>
      <w:r>
        <w:rPr>
          <w:rFonts w:hint="eastAsia" w:ascii="Times New Roman" w:hAnsi="Times New Roman" w:eastAsia="黑体" w:cs="Times New Roman"/>
          <w:lang w:val="en-US" w:eastAsia="zh-CN"/>
        </w:rPr>
        <w:t>T</w:t>
      </w:r>
      <w:r>
        <w:rPr>
          <w:rFonts w:hint="default" w:ascii="Times New Roman" w:hAnsi="Times New Roman" w:eastAsia="黑体" w:cs="Times New Roman"/>
        </w:rPr>
        <w:t>he working capital management is the core of enterprise management, the size of the actual efficiency and the management method of enterprise managers and market investors has important reference function Under the market economy system, the normal circulation and use of working capital, decide whether the enterprise can normal operation and long-term development For business, working capital management is an important foundation If there is no clear working capital management system, the enterprise in production and business operation process, there will be disorder Management deterioration and even to the case of bankruptcy Therefore, enterprise decision-makers should pay attention to working capital management issues,</w:t>
      </w:r>
      <w:commentRangeStart w:id="14"/>
      <w:r>
        <w:rPr>
          <w:rFonts w:hint="default" w:ascii="Times New Roman" w:hAnsi="Times New Roman" w:eastAsia="黑体" w:cs="Times New Roman"/>
        </w:rPr>
        <w:t xml:space="preserve"> in order to improve the enterprise economic profits</w:t>
      </w:r>
      <w:commentRangeEnd w:id="14"/>
      <w:r>
        <w:commentReference w:id="14"/>
      </w:r>
      <w:r>
        <w:rPr>
          <w:rFonts w:hint="default" w:ascii="Times New Roman" w:hAnsi="Times New Roman" w:eastAsia="黑体" w:cs="Times New Roman"/>
        </w:rPr>
        <w:t xml:space="preserve"> This paper mainly adopts literature research case analysis method to study the management of working capital First of all, the sorting of related literature and summarize the related concepts of working capital Second to Luxshare Precision Industry Co., ltd. as the actual</w:t>
      </w:r>
      <w:r>
        <w:rPr>
          <w:rFonts w:hint="eastAsia" w:ascii="Times New Roman" w:hAnsi="Times New Roman" w:eastAsia="黑体" w:cs="Times New Roman"/>
          <w:lang w:val="en-US" w:eastAsia="zh-CN"/>
        </w:rPr>
        <w:t xml:space="preserve"> </w:t>
      </w:r>
      <w:r>
        <w:rPr>
          <w:rFonts w:hint="default" w:ascii="Times New Roman" w:hAnsi="Times New Roman" w:eastAsia="黑体" w:cs="Times New Roman"/>
        </w:rPr>
        <w:t>case,</w:t>
      </w:r>
      <w:r>
        <w:rPr>
          <w:rFonts w:hint="eastAsia" w:ascii="Times New Roman" w:hAnsi="Times New Roman" w:eastAsia="黑体" w:cs="Times New Roman"/>
          <w:lang w:val="en-US" w:eastAsia="zh-CN"/>
        </w:rPr>
        <w:t xml:space="preserve"> </w:t>
      </w:r>
      <w:r>
        <w:rPr>
          <w:rFonts w:hint="default" w:ascii="Times New Roman" w:hAnsi="Times New Roman" w:eastAsia="黑体" w:cs="Times New Roman"/>
        </w:rPr>
        <w:t>from the theory of "elements and channels for its financial data analysis report</w:t>
      </w:r>
      <w:r>
        <w:rPr>
          <w:rFonts w:hint="eastAsia" w:ascii="Times New Roman" w:hAnsi="Times New Roman" w:eastAsia="黑体" w:cs="Times New Roman"/>
          <w:lang w:val="en-US" w:eastAsia="zh-CN"/>
        </w:rPr>
        <w:t xml:space="preserve"> </w:t>
      </w:r>
      <w:r>
        <w:rPr>
          <w:rFonts w:hint="default" w:ascii="Times New Roman" w:hAnsi="Times New Roman" w:eastAsia="黑体" w:cs="Times New Roman"/>
        </w:rPr>
        <w:t>of working capital management, such</w:t>
      </w:r>
      <w:r>
        <w:rPr>
          <w:rFonts w:hint="eastAsia" w:ascii="Times New Roman" w:hAnsi="Times New Roman" w:eastAsia="黑体" w:cs="Times New Roman"/>
          <w:lang w:val="en-US" w:eastAsia="zh-CN"/>
        </w:rPr>
        <w:t xml:space="preserve"> </w:t>
      </w:r>
      <w:r>
        <w:rPr>
          <w:rFonts w:hint="default" w:ascii="Times New Roman" w:hAnsi="Times New Roman" w:eastAsia="黑体" w:cs="Times New Roman"/>
        </w:rPr>
        <w:t>as:</w:t>
      </w:r>
      <w:r>
        <w:rPr>
          <w:rFonts w:hint="eastAsia" w:ascii="Times New Roman" w:hAnsi="Times New Roman" w:eastAsia="黑体" w:cs="Times New Roman"/>
          <w:lang w:val="en-US" w:eastAsia="zh-CN"/>
        </w:rPr>
        <w:t xml:space="preserve"> </w:t>
      </w:r>
      <w:r>
        <w:rPr>
          <w:rFonts w:hint="default" w:ascii="Times New Roman" w:hAnsi="Times New Roman" w:eastAsia="黑体" w:cs="Times New Roman"/>
        </w:rPr>
        <w:t>the accounts payable accounts receivable inventory turnover period and the elements of velocity analysis and to the enterprise production and operation of purchase production and the analysis of the distribution channel Finally, by analyzing the data, the current problems of fund operation and management are obtained, and optimization suggestions are provided</w:t>
      </w:r>
      <w:r>
        <w:rPr>
          <w:rFonts w:hint="eastAsia" w:ascii="Times New Roman" w:hAnsi="Times New Roman" w:eastAsia="黑体" w:cs="Times New Roman"/>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left="0" w:firstLine="474" w:firstLineChars="200"/>
        <w:textAlignment w:val="auto"/>
        <w:rPr>
          <w:rFonts w:hint="eastAsia" w:ascii="Times New Roman" w:hAnsi="Times New Roman" w:eastAsia="黑体" w:cs="Times New Roman"/>
          <w:lang w:val="en-US" w:eastAsia="zh-CN"/>
        </w:rPr>
      </w:pPr>
      <w:r>
        <w:rPr>
          <w:rFonts w:ascii="Times New Roman" w:hAnsi="Times New Roman" w:cs="Times New Roman"/>
          <w:b/>
          <w:bCs/>
          <w:color w:val="2B2B2B"/>
        </w:rPr>
        <w:t>Key Words:</w:t>
      </w:r>
      <w:r>
        <w:rPr>
          <w:rFonts w:ascii="Times New Roman" w:hAnsi="Times New Roman" w:eastAsia="黑体" w:cs="Times New Roman"/>
        </w:rPr>
        <w:t xml:space="preserve"> </w:t>
      </w:r>
      <w:commentRangeStart w:id="15"/>
      <w:r>
        <w:rPr>
          <w:rFonts w:hint="eastAsia" w:ascii="Times New Roman" w:hAnsi="Times New Roman" w:eastAsia="黑体" w:cs="Times New Roman"/>
          <w:lang w:val="en-US" w:eastAsia="zh-CN"/>
        </w:rPr>
        <w:t>W</w:t>
      </w:r>
      <w:commentRangeEnd w:id="15"/>
      <w:r>
        <w:commentReference w:id="15"/>
      </w:r>
      <w:r>
        <w:rPr>
          <w:rFonts w:hint="eastAsia" w:ascii="Times New Roman" w:hAnsi="Times New Roman" w:eastAsia="黑体" w:cs="Times New Roman"/>
          <w:lang w:val="en-US" w:eastAsia="zh-CN"/>
        </w:rPr>
        <w:t xml:space="preserve">orking capital, Working capital management, </w:t>
      </w:r>
      <w:r>
        <w:rPr>
          <w:rFonts w:ascii="Times New Roman" w:hAnsi="Times New Roman" w:eastAsia="黑体" w:cs="Times New Roman"/>
        </w:rPr>
        <w:t>Factor management</w:t>
      </w:r>
      <w:r>
        <w:rPr>
          <w:rFonts w:hint="eastAsia" w:ascii="Times New Roman" w:hAnsi="Times New Roman" w:eastAsia="黑体" w:cs="Times New Roman"/>
          <w:lang w:val="en-US" w:eastAsia="zh-CN"/>
        </w:rPr>
        <w:t xml:space="preserve">, </w:t>
      </w:r>
      <w:r>
        <w:rPr>
          <w:rFonts w:ascii="Times New Roman" w:hAnsi="Times New Roman" w:eastAsia="黑体" w:cs="Times New Roman"/>
        </w:rPr>
        <w:t>Channel management</w:t>
      </w:r>
    </w:p>
    <w:p>
      <w:pPr>
        <w:tabs>
          <w:tab w:val="clear" w:pos="8640"/>
        </w:tabs>
        <w:spacing w:line="360" w:lineRule="auto"/>
        <w:ind w:firstLine="472" w:firstLineChars="200"/>
        <w:jc w:val="left"/>
        <w:rPr>
          <w:rFonts w:ascii="Times New Roman" w:hAnsi="Times New Roman" w:eastAsia="黑体"/>
        </w:rPr>
      </w:pPr>
    </w:p>
    <w:p>
      <w:pPr>
        <w:tabs>
          <w:tab w:val="clear" w:pos="8640"/>
        </w:tabs>
        <w:spacing w:line="360" w:lineRule="auto"/>
        <w:ind w:firstLine="472" w:firstLineChars="200"/>
        <w:jc w:val="left"/>
        <w:rPr>
          <w:rFonts w:ascii="Times New Roman" w:hAnsi="Times New Roman" w:eastAsia="黑体"/>
        </w:rPr>
      </w:pPr>
    </w:p>
    <w:p>
      <w:pPr>
        <w:tabs>
          <w:tab w:val="clear" w:pos="8640"/>
        </w:tabs>
        <w:spacing w:line="360" w:lineRule="auto"/>
        <w:ind w:firstLine="472" w:firstLineChars="200"/>
        <w:jc w:val="left"/>
        <w:rPr>
          <w:rFonts w:ascii="Times New Roman" w:hAnsi="Times New Roman" w:eastAsia="黑体"/>
        </w:rPr>
      </w:pPr>
    </w:p>
    <w:p>
      <w:pPr>
        <w:tabs>
          <w:tab w:val="clear" w:pos="8640"/>
        </w:tabs>
        <w:spacing w:line="360" w:lineRule="auto"/>
        <w:ind w:firstLine="472" w:firstLineChars="200"/>
        <w:jc w:val="left"/>
        <w:rPr>
          <w:rFonts w:ascii="Times New Roman" w:hAnsi="Times New Roman" w:eastAsia="黑体"/>
        </w:rPr>
      </w:pPr>
    </w:p>
    <w:sdt>
      <w:sdtPr>
        <w:rPr>
          <w:rFonts w:hint="eastAsia" w:ascii="黑体" w:hAnsi="黑体" w:eastAsia="黑体" w:cs="黑体"/>
          <w:b w:val="0"/>
          <w:bCs w:val="0"/>
          <w:spacing w:val="-2"/>
          <w:sz w:val="32"/>
          <w:szCs w:val="32"/>
          <w:lang w:val="en-US" w:eastAsia="zh-CN" w:bidi="ar-SA"/>
        </w:rPr>
        <w:id w:val="147481337"/>
        <w15:color w:val="DBDBDB"/>
        <w:docPartObj>
          <w:docPartGallery w:val="Table of Contents"/>
          <w:docPartUnique/>
        </w:docPartObj>
      </w:sdtPr>
      <w:sdtEndPr>
        <w:rPr>
          <w:rFonts w:hint="eastAsia" w:ascii="宋体" w:hAnsi="宋体" w:eastAsia="宋体" w:cs="Arial"/>
          <w:b w:val="0"/>
          <w:bCs w:val="0"/>
          <w:spacing w:val="-2"/>
          <w:sz w:val="21"/>
          <w:szCs w:val="24"/>
          <w:lang w:val="en-US" w:eastAsia="zh-CN" w:bidi="ar-SA"/>
        </w:rPr>
      </w:sdtEndPr>
      <w:sdtContent>
        <w:p>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rFonts w:hint="eastAsia" w:ascii="黑体" w:hAnsi="黑体" w:eastAsia="黑体" w:cs="黑体"/>
              <w:b w:val="0"/>
              <w:bCs w:val="0"/>
              <w:sz w:val="32"/>
              <w:szCs w:val="32"/>
            </w:rPr>
          </w:pPr>
          <w:bookmarkStart w:id="2" w:name="_Toc27933"/>
          <w:bookmarkStart w:id="3" w:name="_Toc479691021"/>
          <w:bookmarkStart w:id="4" w:name="_Toc493957993"/>
          <w:bookmarkStart w:id="5" w:name="_Toc479690656"/>
          <w:bookmarkStart w:id="6" w:name="_Toc2511"/>
          <w:bookmarkStart w:id="7" w:name="_Toc482619839"/>
          <w:commentRangeStart w:id="16"/>
          <w:r>
            <w:rPr>
              <w:rFonts w:hint="eastAsia" w:ascii="黑体" w:hAnsi="黑体" w:eastAsia="黑体" w:cs="黑体"/>
              <w:b w:val="0"/>
              <w:bCs w:val="0"/>
              <w:sz w:val="32"/>
              <w:szCs w:val="32"/>
            </w:rPr>
            <w:t>目录</w:t>
          </w:r>
          <w:commentRangeEnd w:id="16"/>
          <w:r>
            <w:rPr>
              <w:rFonts w:hint="eastAsia" w:ascii="黑体" w:hAnsi="黑体" w:eastAsia="黑体" w:cs="黑体"/>
              <w:b w:val="0"/>
              <w:bCs w:val="0"/>
              <w:sz w:val="32"/>
              <w:szCs w:val="32"/>
            </w:rPr>
            <w:commentReference w:id="16"/>
          </w:r>
          <w:r>
            <w:commentReference w:id="17"/>
          </w:r>
          <w:r>
            <w:commentReference w:id="18"/>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"1-3" \h \u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_Toc16132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一、引言</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_Toc16132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236" w:leftChars="1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_Toc26508 </w:instrText>
          </w:r>
          <w:r>
            <w:rPr>
              <w:rFonts w:hint="eastAsia" w:ascii="宋体" w:hAnsi="宋体" w:eastAsia="宋体" w:cs="宋体"/>
              <w:sz w:val="24"/>
              <w:szCs w:val="24"/>
            </w:rPr>
            <w:fldChar w:fldCharType="separate"/>
          </w:r>
          <w:r>
            <w:rPr>
              <w:rFonts w:hint="eastAsia" w:ascii="宋体" w:hAnsi="宋体" w:eastAsia="宋体" w:cs="宋体"/>
              <w:sz w:val="24"/>
              <w:szCs w:val="24"/>
            </w:rPr>
            <w:t>（一）研究背景及意义</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_Toc26508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_Toc7077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1.</w:t>
          </w:r>
          <w:r>
            <w:rPr>
              <w:rFonts w:hint="eastAsia" w:ascii="宋体" w:hAnsi="宋体" w:eastAsia="宋体" w:cs="宋体"/>
              <w:sz w:val="24"/>
              <w:szCs w:val="24"/>
            </w:rPr>
            <w:t>研究的背景</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_Toc7077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_Toc7224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2.选题的意义</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_Toc7224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236" w:leftChars="1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_Toc4631 </w:instrText>
          </w:r>
          <w:r>
            <w:rPr>
              <w:rFonts w:hint="eastAsia" w:ascii="宋体" w:hAnsi="宋体" w:eastAsia="宋体" w:cs="宋体"/>
              <w:sz w:val="24"/>
              <w:szCs w:val="24"/>
            </w:rPr>
            <w:fldChar w:fldCharType="separate"/>
          </w:r>
          <w:r>
            <w:rPr>
              <w:rFonts w:hint="eastAsia" w:ascii="宋体" w:hAnsi="宋体" w:eastAsia="宋体" w:cs="宋体"/>
              <w:sz w:val="24"/>
              <w:szCs w:val="24"/>
            </w:rPr>
            <w:t>（二）</w:t>
          </w:r>
          <w:r>
            <w:rPr>
              <w:rFonts w:hint="eastAsia" w:ascii="宋体" w:hAnsi="宋体" w:eastAsia="宋体" w:cs="宋体"/>
              <w:sz w:val="24"/>
              <w:szCs w:val="24"/>
              <w:lang w:val="en-US" w:eastAsia="zh-CN"/>
            </w:rPr>
            <w:t>文献综述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_Toc4631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_Toc7973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1.</w:t>
          </w:r>
          <w:r>
            <w:rPr>
              <w:rFonts w:hint="eastAsia" w:ascii="宋体" w:hAnsi="宋体" w:cs="宋体"/>
              <w:sz w:val="24"/>
              <w:szCs w:val="24"/>
              <w:lang w:val="en-US" w:eastAsia="zh-CN"/>
            </w:rPr>
            <w:t>关于</w:t>
          </w:r>
          <w:r>
            <w:rPr>
              <w:rFonts w:hint="eastAsia" w:ascii="宋体" w:hAnsi="宋体" w:eastAsia="宋体" w:cs="宋体"/>
              <w:sz w:val="24"/>
              <w:szCs w:val="24"/>
              <w:lang w:val="en-US" w:eastAsia="zh-CN"/>
            </w:rPr>
            <w:t>营运资金管理的研究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_Toc7973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_Toc27560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2.关于营运资金管理存在的问题研究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_Toc27560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_Toc11277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3.关于营运资金管理问题解决方法的研究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_Toc11277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236" w:leftChars="1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_Toc13892 </w:instrText>
          </w:r>
          <w:r>
            <w:rPr>
              <w:rFonts w:hint="eastAsia" w:ascii="宋体" w:hAnsi="宋体" w:eastAsia="宋体" w:cs="宋体"/>
              <w:sz w:val="24"/>
              <w:szCs w:val="24"/>
            </w:rPr>
            <w:fldChar w:fldCharType="separate"/>
          </w:r>
          <w:r>
            <w:rPr>
              <w:rFonts w:hint="eastAsia" w:ascii="宋体" w:hAnsi="宋体" w:eastAsia="宋体" w:cs="宋体"/>
              <w:sz w:val="24"/>
              <w:szCs w:val="24"/>
            </w:rPr>
            <w:t>（三）研究内容及方法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_Toc13892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_Toc15834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1.研究内容</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_Toc15834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_Toc23321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2.研究方法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_Toc23321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_Toc13124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二、营运资金管理相关理论概述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_Toc13124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236" w:leftChars="1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_Toc30520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（一）营运资金的概念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_Toc30520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236" w:leftChars="1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_Toc28217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w:t>
          </w:r>
          <w:r>
            <w:rPr>
              <w:rFonts w:hint="eastAsia" w:ascii="宋体" w:hAnsi="宋体" w:cs="宋体"/>
              <w:sz w:val="24"/>
              <w:szCs w:val="24"/>
              <w:lang w:val="en-US" w:eastAsia="zh-CN"/>
            </w:rPr>
            <w:t>二</w:t>
          </w:r>
          <w:r>
            <w:rPr>
              <w:rFonts w:hint="eastAsia" w:ascii="宋体" w:hAnsi="宋体" w:eastAsia="宋体" w:cs="宋体"/>
              <w:sz w:val="24"/>
              <w:szCs w:val="24"/>
              <w:lang w:val="en-US" w:eastAsia="zh-CN"/>
            </w:rPr>
            <w:t>）营运资金管理的概念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_Toc28217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236" w:leftChars="1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_Toc15477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w:t>
          </w:r>
          <w:r>
            <w:rPr>
              <w:rFonts w:hint="eastAsia" w:ascii="宋体" w:hAnsi="宋体" w:cs="宋体"/>
              <w:sz w:val="24"/>
              <w:szCs w:val="24"/>
              <w:lang w:val="en-US" w:eastAsia="zh-CN"/>
            </w:rPr>
            <w:t>三</w:t>
          </w:r>
          <w:r>
            <w:rPr>
              <w:rFonts w:hint="eastAsia" w:ascii="宋体" w:hAnsi="宋体" w:eastAsia="宋体" w:cs="宋体"/>
              <w:sz w:val="24"/>
              <w:szCs w:val="24"/>
              <w:lang w:val="en-US" w:eastAsia="zh-CN"/>
            </w:rPr>
            <w:t>）要素营运资金管理理论</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_Toc15477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236" w:leftChars="1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_Toc12093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w:t>
          </w:r>
          <w:r>
            <w:rPr>
              <w:rFonts w:hint="eastAsia" w:ascii="宋体" w:hAnsi="宋体" w:cs="宋体"/>
              <w:sz w:val="24"/>
              <w:szCs w:val="24"/>
              <w:lang w:val="en-US" w:eastAsia="zh-CN"/>
            </w:rPr>
            <w:t>四</w:t>
          </w:r>
          <w:r>
            <w:rPr>
              <w:rFonts w:hint="eastAsia" w:ascii="宋体" w:hAnsi="宋体" w:eastAsia="宋体" w:cs="宋体"/>
              <w:sz w:val="24"/>
              <w:szCs w:val="24"/>
              <w:lang w:val="en-US" w:eastAsia="zh-CN"/>
            </w:rPr>
            <w:t>）渠道营运资金管理理论</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_Toc12093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_Toc31965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三、立讯精密公司概况及营运资金管理现状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_Toc31965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236" w:leftChars="1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_Toc9921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（一）立讯精密发展状况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_Toc9921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_Toc8891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1.企业概况分析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_Toc8891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_Toc27663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2.行业状况分析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_Toc27663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_Toc6589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3.立讯精密营运资金规模分析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_Toc6589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236" w:leftChars="1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_Toc28512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（二）基于要素的营运资金管理现状分析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_Toc28512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_Toc8028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1.存货周转</w:t>
          </w:r>
          <w:r>
            <w:rPr>
              <w:rFonts w:hint="eastAsia" w:ascii="宋体" w:hAnsi="宋体" w:cs="宋体"/>
              <w:sz w:val="24"/>
              <w:szCs w:val="24"/>
              <w:lang w:val="en-US" w:eastAsia="zh-CN"/>
            </w:rPr>
            <w:t>速度分析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_Toc8028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_Toc21995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2.应收账款周转速度</w:t>
          </w:r>
          <w:r>
            <w:rPr>
              <w:rFonts w:hint="eastAsia" w:ascii="宋体" w:hAnsi="宋体" w:cs="宋体"/>
              <w:sz w:val="24"/>
              <w:szCs w:val="24"/>
              <w:lang w:val="en-US" w:eastAsia="zh-CN"/>
            </w:rPr>
            <w:t>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_Toc21995 </w:instrText>
          </w:r>
          <w:r>
            <w:rPr>
              <w:rFonts w:hint="eastAsia" w:ascii="宋体" w:hAnsi="宋体" w:eastAsia="宋体" w:cs="宋体"/>
              <w:sz w:val="24"/>
              <w:szCs w:val="24"/>
            </w:rPr>
            <w:fldChar w:fldCharType="separate"/>
          </w:r>
          <w:r>
            <w:rPr>
              <w:rFonts w:hint="eastAsia" w:ascii="宋体" w:hAnsi="宋体" w:eastAsia="宋体" w:cs="宋体"/>
              <w:sz w:val="24"/>
              <w:szCs w:val="24"/>
            </w:rPr>
            <w:t>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_Toc4902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3.应付账款周转期</w:t>
          </w:r>
          <w:r>
            <w:rPr>
              <w:rFonts w:hint="eastAsia" w:ascii="宋体" w:hAnsi="宋体" w:cs="宋体"/>
              <w:sz w:val="24"/>
              <w:szCs w:val="24"/>
              <w:lang w:val="en-US" w:eastAsia="zh-CN"/>
            </w:rPr>
            <w:t>速度分析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_Toc4902 </w:instrText>
          </w:r>
          <w:r>
            <w:rPr>
              <w:rFonts w:hint="eastAsia" w:ascii="宋体" w:hAnsi="宋体" w:eastAsia="宋体" w:cs="宋体"/>
              <w:sz w:val="24"/>
              <w:szCs w:val="24"/>
            </w:rPr>
            <w:fldChar w:fldCharType="separate"/>
          </w:r>
          <w:r>
            <w:rPr>
              <w:rFonts w:hint="eastAsia"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236" w:leftChars="1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_Toc23403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（三）基于渠道的营运资金管理现状分析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_Toc23403 </w:instrText>
          </w:r>
          <w:r>
            <w:rPr>
              <w:rFonts w:hint="eastAsia" w:ascii="宋体" w:hAnsi="宋体" w:eastAsia="宋体" w:cs="宋体"/>
              <w:sz w:val="24"/>
              <w:szCs w:val="24"/>
            </w:rPr>
            <w:fldChar w:fldCharType="separate"/>
          </w:r>
          <w:r>
            <w:rPr>
              <w:rFonts w:hint="eastAsia" w:ascii="宋体" w:hAnsi="宋体" w:eastAsia="宋体" w:cs="宋体"/>
              <w:sz w:val="24"/>
              <w:szCs w:val="24"/>
            </w:rPr>
            <w:t>11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_Toc23212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1.采购渠道营运资金管理分析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_Toc23212 </w:instrText>
          </w:r>
          <w:r>
            <w:rPr>
              <w:rFonts w:hint="eastAsia" w:ascii="宋体" w:hAnsi="宋体" w:eastAsia="宋体" w:cs="宋体"/>
              <w:sz w:val="24"/>
              <w:szCs w:val="24"/>
            </w:rPr>
            <w:fldChar w:fldCharType="separate"/>
          </w:r>
          <w:r>
            <w:rPr>
              <w:rFonts w:hint="eastAsia" w:ascii="宋体" w:hAnsi="宋体" w:eastAsia="宋体" w:cs="宋体"/>
              <w:sz w:val="24"/>
              <w:szCs w:val="24"/>
            </w:rPr>
            <w:t>11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_Toc3306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2.生产渠道营运资金管理分析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_Toc3306 </w:instrText>
          </w:r>
          <w:r>
            <w:rPr>
              <w:rFonts w:hint="eastAsia" w:ascii="宋体" w:hAnsi="宋体" w:eastAsia="宋体" w:cs="宋体"/>
              <w:sz w:val="24"/>
              <w:szCs w:val="24"/>
            </w:rPr>
            <w:fldChar w:fldCharType="separate"/>
          </w:r>
          <w:r>
            <w:rPr>
              <w:rFonts w:hint="eastAsia" w:ascii="宋体" w:hAnsi="宋体" w:eastAsia="宋体" w:cs="宋体"/>
              <w:sz w:val="24"/>
              <w:szCs w:val="24"/>
            </w:rPr>
            <w:t>13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_Toc32162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3.营销渠道营运资金管理分析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_Toc32162 </w:instrText>
          </w:r>
          <w:r>
            <w:rPr>
              <w:rFonts w:hint="eastAsia" w:ascii="宋体" w:hAnsi="宋体" w:eastAsia="宋体" w:cs="宋体"/>
              <w:sz w:val="24"/>
              <w:szCs w:val="24"/>
            </w:rPr>
            <w:fldChar w:fldCharType="separate"/>
          </w:r>
          <w:r>
            <w:rPr>
              <w:rFonts w:hint="eastAsia" w:ascii="宋体" w:hAnsi="宋体" w:eastAsia="宋体" w:cs="宋体"/>
              <w:sz w:val="24"/>
              <w:szCs w:val="24"/>
            </w:rPr>
            <w:t>14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_Toc3793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四、立讯精密营运资金管理存在的问题</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_Toc3793 </w:instrText>
          </w:r>
          <w:r>
            <w:rPr>
              <w:rFonts w:hint="eastAsia" w:ascii="宋体" w:hAnsi="宋体" w:eastAsia="宋体" w:cs="宋体"/>
              <w:sz w:val="24"/>
              <w:szCs w:val="24"/>
            </w:rPr>
            <w:fldChar w:fldCharType="separate"/>
          </w:r>
          <w:r>
            <w:rPr>
              <w:rFonts w:hint="eastAsia" w:ascii="宋体" w:hAnsi="宋体" w:eastAsia="宋体" w:cs="宋体"/>
              <w:sz w:val="24"/>
              <w:szCs w:val="24"/>
            </w:rPr>
            <w:t>17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236" w:leftChars="1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_Toc1070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（一）采购环节存在的问题</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_Toc1070 </w:instrText>
          </w:r>
          <w:r>
            <w:rPr>
              <w:rFonts w:hint="eastAsia" w:ascii="宋体" w:hAnsi="宋体" w:eastAsia="宋体" w:cs="宋体"/>
              <w:sz w:val="24"/>
              <w:szCs w:val="24"/>
            </w:rPr>
            <w:fldChar w:fldCharType="separate"/>
          </w:r>
          <w:r>
            <w:rPr>
              <w:rFonts w:hint="eastAsia" w:ascii="宋体" w:hAnsi="宋体" w:eastAsia="宋体" w:cs="宋体"/>
              <w:sz w:val="24"/>
              <w:szCs w:val="24"/>
            </w:rPr>
            <w:t>17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_Toc28813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1.过多占用供应商资金</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_Toc28813 </w:instrText>
          </w:r>
          <w:r>
            <w:rPr>
              <w:rFonts w:hint="eastAsia" w:ascii="宋体" w:hAnsi="宋体" w:eastAsia="宋体" w:cs="宋体"/>
              <w:sz w:val="24"/>
              <w:szCs w:val="24"/>
            </w:rPr>
            <w:fldChar w:fldCharType="separate"/>
          </w:r>
          <w:r>
            <w:rPr>
              <w:rFonts w:hint="eastAsia" w:ascii="宋体" w:hAnsi="宋体" w:eastAsia="宋体" w:cs="宋体"/>
              <w:sz w:val="24"/>
              <w:szCs w:val="24"/>
            </w:rPr>
            <w:t>17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_Toc12409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2.采购计划尚未完善</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_Toc12409 </w:instrText>
          </w:r>
          <w:r>
            <w:rPr>
              <w:rFonts w:hint="eastAsia" w:ascii="宋体" w:hAnsi="宋体" w:eastAsia="宋体" w:cs="宋体"/>
              <w:sz w:val="24"/>
              <w:szCs w:val="24"/>
            </w:rPr>
            <w:fldChar w:fldCharType="separate"/>
          </w:r>
          <w:r>
            <w:rPr>
              <w:rFonts w:hint="eastAsia" w:ascii="宋体" w:hAnsi="宋体" w:eastAsia="宋体" w:cs="宋体"/>
              <w:sz w:val="24"/>
              <w:szCs w:val="24"/>
            </w:rPr>
            <w:t>17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236" w:leftChars="1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_Toc25165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（二）生产环节存在的问题</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_Toc25165 </w:instrText>
          </w:r>
          <w:r>
            <w:rPr>
              <w:rFonts w:hint="eastAsia" w:ascii="宋体" w:hAnsi="宋体" w:eastAsia="宋体" w:cs="宋体"/>
              <w:sz w:val="24"/>
              <w:szCs w:val="24"/>
            </w:rPr>
            <w:fldChar w:fldCharType="separate"/>
          </w:r>
          <w:r>
            <w:rPr>
              <w:rFonts w:hint="eastAsia" w:ascii="宋体" w:hAnsi="宋体" w:eastAsia="宋体" w:cs="宋体"/>
              <w:sz w:val="24"/>
              <w:szCs w:val="24"/>
            </w:rPr>
            <w:t>17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_Toc13821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1.在产品存货储存较多</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_Toc13821 </w:instrText>
          </w:r>
          <w:r>
            <w:rPr>
              <w:rFonts w:hint="eastAsia" w:ascii="宋体" w:hAnsi="宋体" w:eastAsia="宋体" w:cs="宋体"/>
              <w:sz w:val="24"/>
              <w:szCs w:val="24"/>
            </w:rPr>
            <w:fldChar w:fldCharType="separate"/>
          </w:r>
          <w:r>
            <w:rPr>
              <w:rFonts w:hint="eastAsia" w:ascii="宋体" w:hAnsi="宋体" w:eastAsia="宋体" w:cs="宋体"/>
              <w:sz w:val="24"/>
              <w:szCs w:val="24"/>
            </w:rPr>
            <w:t>17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_Toc1433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2.生产方式自动化提升缓慢</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_Toc1433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236" w:leftChars="1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_Toc25647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（三）营销环节存在的问题</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_Toc25647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_Toc6111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1.产成品资金占用较多</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_Toc6111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_Toc10090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2.应收款项催收不利</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_Toc10090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_Toc28197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五、立讯精密营运资金管理对策</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_Toc28197 </w:instrText>
          </w:r>
          <w:r>
            <w:rPr>
              <w:rFonts w:hint="eastAsia" w:ascii="宋体" w:hAnsi="宋体" w:eastAsia="宋体" w:cs="宋体"/>
              <w:sz w:val="24"/>
              <w:szCs w:val="24"/>
            </w:rPr>
            <w:fldChar w:fldCharType="separate"/>
          </w:r>
          <w:r>
            <w:rPr>
              <w:rFonts w:hint="eastAsia" w:ascii="宋体" w:hAnsi="宋体" w:eastAsia="宋体" w:cs="宋体"/>
              <w:sz w:val="24"/>
              <w:szCs w:val="24"/>
            </w:rPr>
            <w:t>20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236" w:leftChars="1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_Toc6733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（一）降低企业采购成本</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_Toc6733 </w:instrText>
          </w:r>
          <w:r>
            <w:rPr>
              <w:rFonts w:hint="eastAsia" w:ascii="宋体" w:hAnsi="宋体" w:eastAsia="宋体" w:cs="宋体"/>
              <w:sz w:val="24"/>
              <w:szCs w:val="24"/>
            </w:rPr>
            <w:fldChar w:fldCharType="separate"/>
          </w:r>
          <w:r>
            <w:rPr>
              <w:rFonts w:hint="eastAsia" w:ascii="宋体" w:hAnsi="宋体" w:eastAsia="宋体" w:cs="宋体"/>
              <w:sz w:val="24"/>
              <w:szCs w:val="24"/>
            </w:rPr>
            <w:t>20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_Toc13180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1.与供应商建立良好战略合作关系</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_Toc13180 </w:instrText>
          </w:r>
          <w:r>
            <w:rPr>
              <w:rFonts w:hint="eastAsia" w:ascii="宋体" w:hAnsi="宋体" w:eastAsia="宋体" w:cs="宋体"/>
              <w:sz w:val="24"/>
              <w:szCs w:val="24"/>
            </w:rPr>
            <w:fldChar w:fldCharType="separate"/>
          </w:r>
          <w:r>
            <w:rPr>
              <w:rFonts w:hint="eastAsia" w:ascii="宋体" w:hAnsi="宋体" w:eastAsia="宋体" w:cs="宋体"/>
              <w:sz w:val="24"/>
              <w:szCs w:val="24"/>
            </w:rPr>
            <w:t>20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_Toc29415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2.控制采购风险</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_Toc29415 </w:instrText>
          </w:r>
          <w:r>
            <w:rPr>
              <w:rFonts w:hint="eastAsia" w:ascii="宋体" w:hAnsi="宋体" w:eastAsia="宋体" w:cs="宋体"/>
              <w:sz w:val="24"/>
              <w:szCs w:val="24"/>
            </w:rPr>
            <w:fldChar w:fldCharType="separate"/>
          </w:r>
          <w:r>
            <w:rPr>
              <w:rFonts w:hint="eastAsia" w:ascii="宋体" w:hAnsi="宋体" w:eastAsia="宋体" w:cs="宋体"/>
              <w:sz w:val="24"/>
              <w:szCs w:val="24"/>
            </w:rPr>
            <w:t>20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236" w:leftChars="1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_Toc10225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（二）降低企业生产成本</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_Toc10225 </w:instrText>
          </w:r>
          <w:r>
            <w:rPr>
              <w:rFonts w:hint="eastAsia" w:ascii="宋体" w:hAnsi="宋体" w:eastAsia="宋体" w:cs="宋体"/>
              <w:sz w:val="24"/>
              <w:szCs w:val="24"/>
            </w:rPr>
            <w:fldChar w:fldCharType="separate"/>
          </w:r>
          <w:r>
            <w:rPr>
              <w:rFonts w:hint="eastAsia" w:ascii="宋体" w:hAnsi="宋体" w:eastAsia="宋体" w:cs="宋体"/>
              <w:sz w:val="24"/>
              <w:szCs w:val="24"/>
            </w:rPr>
            <w:t>21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_Toc12901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1.增加柔性化和精细运作模式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_Toc12901 </w:instrText>
          </w:r>
          <w:r>
            <w:rPr>
              <w:rFonts w:hint="eastAsia" w:ascii="宋体" w:hAnsi="宋体" w:eastAsia="宋体" w:cs="宋体"/>
              <w:sz w:val="24"/>
              <w:szCs w:val="24"/>
            </w:rPr>
            <w:fldChar w:fldCharType="separate"/>
          </w:r>
          <w:r>
            <w:rPr>
              <w:rFonts w:hint="eastAsia" w:ascii="宋体" w:hAnsi="宋体" w:eastAsia="宋体" w:cs="宋体"/>
              <w:sz w:val="24"/>
              <w:szCs w:val="24"/>
            </w:rPr>
            <w:t>21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_Toc19461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2.加强智能产品与新兴技术的研发</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_Toc19461 </w:instrText>
          </w:r>
          <w:r>
            <w:rPr>
              <w:rFonts w:hint="eastAsia" w:ascii="宋体" w:hAnsi="宋体" w:eastAsia="宋体" w:cs="宋体"/>
              <w:sz w:val="24"/>
              <w:szCs w:val="24"/>
            </w:rPr>
            <w:fldChar w:fldCharType="separate"/>
          </w:r>
          <w:r>
            <w:rPr>
              <w:rFonts w:hint="eastAsia" w:ascii="宋体" w:hAnsi="宋体" w:eastAsia="宋体" w:cs="宋体"/>
              <w:sz w:val="24"/>
              <w:szCs w:val="24"/>
            </w:rPr>
            <w:t>21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236" w:leftChars="1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_Toc29476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（三）提升销售环节的资金回收效率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_Toc29476 </w:instrText>
          </w:r>
          <w:r>
            <w:rPr>
              <w:rFonts w:hint="eastAsia" w:ascii="宋体" w:hAnsi="宋体" w:eastAsia="宋体" w:cs="宋体"/>
              <w:sz w:val="24"/>
              <w:szCs w:val="24"/>
            </w:rPr>
            <w:fldChar w:fldCharType="separate"/>
          </w:r>
          <w:r>
            <w:rPr>
              <w:rFonts w:hint="eastAsia" w:ascii="宋体" w:hAnsi="宋体" w:eastAsia="宋体" w:cs="宋体"/>
              <w:sz w:val="24"/>
              <w:szCs w:val="24"/>
            </w:rPr>
            <w:t>21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_Toc1273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1.开拓新型销售渠道</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_Toc1273 </w:instrText>
          </w:r>
          <w:r>
            <w:rPr>
              <w:rFonts w:hint="eastAsia" w:ascii="宋体" w:hAnsi="宋体" w:eastAsia="宋体" w:cs="宋体"/>
              <w:sz w:val="24"/>
              <w:szCs w:val="24"/>
            </w:rPr>
            <w:fldChar w:fldCharType="separate"/>
          </w:r>
          <w:r>
            <w:rPr>
              <w:rFonts w:hint="eastAsia" w:ascii="宋体" w:hAnsi="宋体" w:eastAsia="宋体" w:cs="宋体"/>
              <w:sz w:val="24"/>
              <w:szCs w:val="24"/>
            </w:rPr>
            <w:t>21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472" w:left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_Toc20560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2.设立商业信用管理部门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_Toc20560 </w:instrText>
          </w:r>
          <w:r>
            <w:rPr>
              <w:rFonts w:hint="eastAsia" w:ascii="宋体" w:hAnsi="宋体" w:eastAsia="宋体" w:cs="宋体"/>
              <w:sz w:val="24"/>
              <w:szCs w:val="24"/>
            </w:rPr>
            <w:fldChar w:fldCharType="separate"/>
          </w:r>
          <w:r>
            <w:rPr>
              <w:rFonts w:hint="eastAsia" w:ascii="宋体" w:hAnsi="宋体" w:eastAsia="宋体" w:cs="宋体"/>
              <w:sz w:val="24"/>
              <w:szCs w:val="24"/>
            </w:rPr>
            <w:t>22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_Toc26742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六、结论</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_Toc26742 </w:instrText>
          </w:r>
          <w:r>
            <w:rPr>
              <w:rFonts w:hint="eastAsia" w:ascii="宋体" w:hAnsi="宋体" w:eastAsia="宋体" w:cs="宋体"/>
              <w:sz w:val="24"/>
              <w:szCs w:val="24"/>
            </w:rPr>
            <w:fldChar w:fldCharType="separate"/>
          </w:r>
          <w:r>
            <w:rPr>
              <w:rFonts w:hint="eastAsia" w:ascii="宋体" w:hAnsi="宋体" w:eastAsia="宋体" w:cs="宋体"/>
              <w:sz w:val="24"/>
              <w:szCs w:val="24"/>
            </w:rPr>
            <w:t>23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_Toc31607 </w:instrText>
          </w:r>
          <w:r>
            <w:rPr>
              <w:rFonts w:hint="eastAsia" w:ascii="宋体" w:hAnsi="宋体" w:eastAsia="宋体" w:cs="宋体"/>
              <w:sz w:val="24"/>
              <w:szCs w:val="24"/>
            </w:rPr>
            <w:fldChar w:fldCharType="separate"/>
          </w:r>
          <w:r>
            <w:rPr>
              <w:rFonts w:hint="eastAsia" w:ascii="宋体" w:hAnsi="宋体" w:eastAsia="宋体" w:cs="宋体"/>
              <w:sz w:val="24"/>
              <w:szCs w:val="24"/>
            </w:rPr>
            <w:t>参考文献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_Toc31607 </w:instrText>
          </w:r>
          <w:r>
            <w:rPr>
              <w:rFonts w:hint="eastAsia" w:ascii="宋体" w:hAnsi="宋体" w:eastAsia="宋体" w:cs="宋体"/>
              <w:sz w:val="24"/>
              <w:szCs w:val="24"/>
            </w:rPr>
            <w:fldChar w:fldCharType="separate"/>
          </w:r>
          <w:r>
            <w:rPr>
              <w:rFonts w:hint="eastAsia" w:ascii="宋体" w:hAnsi="宋体" w:eastAsia="宋体" w:cs="宋体"/>
              <w:sz w:val="24"/>
              <w:szCs w:val="24"/>
            </w:rPr>
            <w:t>24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45"/>
            <w:keepNext w:val="0"/>
            <w:keepLines w:val="0"/>
            <w:pageBreakBefore w:val="0"/>
            <w:widowControl/>
            <w:tabs>
              <w:tab w:val="right" w:leader="dot" w:pos="9070"/>
            </w:tabs>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_Toc4682 </w:instrText>
          </w:r>
          <w:r>
            <w:rPr>
              <w:rFonts w:hint="eastAsia" w:ascii="宋体" w:hAnsi="宋体" w:eastAsia="宋体" w:cs="宋体"/>
              <w:sz w:val="24"/>
              <w:szCs w:val="24"/>
            </w:rPr>
            <w:fldChar w:fldCharType="separate"/>
          </w:r>
          <w:r>
            <w:rPr>
              <w:rFonts w:hint="eastAsia" w:ascii="宋体" w:hAnsi="宋体" w:eastAsia="宋体" w:cs="宋体"/>
              <w:sz w:val="24"/>
              <w:szCs w:val="24"/>
            </w:rPr>
            <w:t>致谢</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_Toc4682 </w:instrText>
          </w:r>
          <w:r>
            <w:rPr>
              <w:rFonts w:hint="eastAsia" w:ascii="宋体" w:hAnsi="宋体" w:eastAsia="宋体" w:cs="宋体"/>
              <w:sz w:val="24"/>
              <w:szCs w:val="24"/>
            </w:rPr>
            <w:fldChar w:fldCharType="separate"/>
          </w:r>
          <w:r>
            <w:rPr>
              <w:rFonts w:hint="eastAsia" w:ascii="宋体" w:hAnsi="宋体" w:eastAsia="宋体" w:cs="宋体"/>
              <w:sz w:val="24"/>
              <w:szCs w:val="24"/>
            </w:rPr>
            <w:t>25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ind w:left="0" w:leftChars="0" w:firstLine="0" w:firstLineChars="0"/>
            <w:rPr>
              <w:rFonts w:hint="eastAsia" w:ascii="黑体" w:hAnsi="黑体" w:cs="黑体"/>
              <w:b w:val="0"/>
              <w:bCs w:val="0"/>
              <w:i w:val="0"/>
              <w:iCs w:val="0"/>
              <w:sz w:val="32"/>
              <w:szCs w:val="32"/>
              <w:lang w:val="en-US" w:eastAsia="zh-CN"/>
            </w:rPr>
            <w:sectPr>
              <w:headerReference r:id="rId13" w:type="default"/>
              <w:footerReference r:id="rId14" w:type="default"/>
              <w:pgSz w:w="11906" w:h="16838"/>
              <w:pgMar w:top="1701" w:right="1418" w:bottom="1701" w:left="1418" w:header="510" w:footer="737" w:gutter="0"/>
              <w:pgNumType w:fmt="upperRoman" w:start="1"/>
              <w:cols w:space="425" w:num="1"/>
              <w:docGrid w:type="lines" w:linePitch="326" w:charSpace="0"/>
            </w:sectPr>
          </w:pPr>
          <w:r>
            <w:rPr>
              <w:rFonts w:hint="eastAsia" w:ascii="宋体" w:hAnsi="宋体" w:eastAsia="宋体" w:cs="宋体"/>
              <w:sz w:val="24"/>
              <w:szCs w:val="24"/>
            </w:rPr>
            <w:fldChar w:fldCharType="end"/>
          </w:r>
        </w:p>
      </w:sdtContent>
    </w:sdt>
    <w:p>
      <w:pPr>
        <w:pStyle w:val="2"/>
        <w:keepNext/>
        <w:keepLines/>
        <w:pageBreakBefore w:val="0"/>
        <w:widowControl/>
        <w:numPr>
          <w:ilvl w:val="0"/>
          <w:numId w:val="0"/>
        </w:numPr>
        <w:kinsoku/>
        <w:wordWrap/>
        <w:overflowPunct/>
        <w:topLinePunct w:val="0"/>
        <w:autoSpaceDE/>
        <w:autoSpaceDN/>
        <w:bidi w:val="0"/>
        <w:adjustRightInd/>
        <w:snapToGrid/>
        <w:spacing w:line="720" w:lineRule="auto"/>
        <w:jc w:val="center"/>
        <w:textAlignment w:val="auto"/>
        <w:outlineLvl w:val="0"/>
        <w:rPr>
          <w:rFonts w:hint="eastAsia" w:ascii="黑体" w:hAnsi="黑体" w:cs="黑体"/>
          <w:b w:val="0"/>
          <w:bCs w:val="0"/>
          <w:i w:val="0"/>
          <w:iCs w:val="0"/>
          <w:sz w:val="32"/>
          <w:szCs w:val="32"/>
          <w:lang w:val="en-US" w:eastAsia="zh-CN"/>
        </w:rPr>
      </w:pPr>
      <w:commentRangeStart w:id="19"/>
      <w:r>
        <w:rPr>
          <w:rFonts w:hint="eastAsia" w:ascii="黑体" w:hAnsi="黑体" w:cs="黑体"/>
          <w:b w:val="0"/>
          <w:bCs w:val="0"/>
          <w:i w:val="0"/>
          <w:iCs w:val="0"/>
          <w:sz w:val="32"/>
          <w:szCs w:val="32"/>
          <w:lang w:val="en-US" w:eastAsia="zh-CN"/>
        </w:rPr>
        <w:t>一、</w:t>
      </w:r>
      <w:bookmarkStart w:id="8" w:name="_Toc16132"/>
      <w:r>
        <w:rPr>
          <w:rFonts w:hint="eastAsia" w:ascii="黑体" w:hAnsi="黑体" w:cs="黑体"/>
          <w:b w:val="0"/>
          <w:bCs w:val="0"/>
          <w:i w:val="0"/>
          <w:iCs w:val="0"/>
          <w:sz w:val="32"/>
          <w:szCs w:val="32"/>
          <w:lang w:val="en-US" w:eastAsia="zh-CN"/>
        </w:rPr>
        <w:t>引言</w:t>
      </w:r>
      <w:commentRangeEnd w:id="19"/>
      <w:r>
        <w:commentReference w:id="19"/>
      </w:r>
      <w:bookmarkEnd w:id="8"/>
    </w:p>
    <w:p>
      <w:pPr>
        <w:pStyle w:val="4"/>
        <w:keepNext/>
        <w:keepLines/>
        <w:pageBreakBefore w:val="0"/>
        <w:widowControl/>
        <w:numPr>
          <w:ilvl w:val="0"/>
          <w:numId w:val="0"/>
        </w:numPr>
        <w:kinsoku/>
        <w:wordWrap/>
        <w:overflowPunct/>
        <w:topLinePunct w:val="0"/>
        <w:autoSpaceDE/>
        <w:autoSpaceDN/>
        <w:bidi w:val="0"/>
        <w:adjustRightInd/>
        <w:snapToGrid/>
        <w:ind w:firstLine="592" w:firstLineChars="200"/>
        <w:textAlignment w:val="auto"/>
        <w:rPr>
          <w:rFonts w:hint="eastAsia" w:ascii="黑体" w:hAnsi="黑体" w:eastAsia="黑体" w:cs="黑体"/>
        </w:rPr>
      </w:pPr>
      <w:commentRangeStart w:id="20"/>
      <w:bookmarkStart w:id="9" w:name="_Toc26508"/>
      <w:r>
        <w:rPr>
          <w:rFonts w:hint="eastAsia" w:ascii="黑体" w:hAnsi="黑体" w:cs="黑体"/>
          <w:lang w:eastAsia="zh-CN"/>
        </w:rPr>
        <w:t>（</w:t>
      </w:r>
      <w:r>
        <w:rPr>
          <w:rFonts w:hint="eastAsia" w:ascii="黑体" w:hAnsi="黑体" w:cs="黑体"/>
          <w:lang w:val="en-US" w:eastAsia="zh-CN"/>
        </w:rPr>
        <w:t>一</w:t>
      </w:r>
      <w:r>
        <w:rPr>
          <w:rFonts w:hint="eastAsia" w:ascii="黑体" w:hAnsi="黑体" w:cs="黑体"/>
          <w:lang w:eastAsia="zh-CN"/>
        </w:rPr>
        <w:t>）</w:t>
      </w:r>
      <w:r>
        <w:rPr>
          <w:rFonts w:hint="eastAsia" w:ascii="黑体" w:hAnsi="黑体" w:eastAsia="黑体" w:cs="黑体"/>
        </w:rPr>
        <w:t>研究背景及意义</w:t>
      </w:r>
      <w:commentRangeEnd w:id="20"/>
      <w:r>
        <w:commentReference w:id="20"/>
      </w:r>
      <w:bookmarkEnd w:id="2"/>
      <w:bookmarkEnd w:id="3"/>
      <w:bookmarkEnd w:id="4"/>
      <w:bookmarkEnd w:id="5"/>
      <w:bookmarkEnd w:id="6"/>
      <w:bookmarkEnd w:id="7"/>
      <w:bookmarkEnd w:id="9"/>
    </w:p>
    <w:p>
      <w:pPr>
        <w:pStyle w:val="5"/>
        <w:keepNext/>
        <w:keepLines/>
        <w:pageBreakBefore w:val="0"/>
        <w:widowControl/>
        <w:kinsoku/>
        <w:wordWrap/>
        <w:overflowPunct/>
        <w:topLinePunct w:val="0"/>
        <w:autoSpaceDE/>
        <w:autoSpaceDN/>
        <w:bidi w:val="0"/>
        <w:adjustRightInd/>
        <w:snapToGrid/>
        <w:spacing w:before="0" w:after="0" w:line="360" w:lineRule="auto"/>
        <w:ind w:left="0" w:leftChars="0" w:right="0" w:rightChars="0" w:firstLine="552" w:firstLineChars="200"/>
        <w:textAlignment w:val="auto"/>
        <w:rPr>
          <w:rFonts w:hint="eastAsia" w:ascii="黑体" w:hAnsi="黑体" w:eastAsia="黑体" w:cs="黑体"/>
          <w:b w:val="0"/>
          <w:bCs w:val="0"/>
          <w:sz w:val="28"/>
          <w:szCs w:val="28"/>
        </w:rPr>
      </w:pPr>
      <w:commentRangeStart w:id="21"/>
      <w:bookmarkStart w:id="10" w:name="_Toc7077"/>
      <w:bookmarkStart w:id="11" w:name="_Toc493957994"/>
      <w:bookmarkStart w:id="12" w:name="_Toc482619840"/>
      <w:bookmarkStart w:id="13" w:name="_Toc479690657"/>
      <w:bookmarkStart w:id="14" w:name="_Toc479691022"/>
      <w:bookmarkStart w:id="15" w:name="_Toc24661"/>
      <w:bookmarkStart w:id="16" w:name="_Toc25780"/>
      <w:r>
        <w:rPr>
          <w:rFonts w:hint="eastAsia" w:ascii="黑体" w:hAnsi="黑体" w:eastAsia="黑体" w:cs="黑体"/>
          <w:b w:val="0"/>
          <w:bCs w:val="0"/>
          <w:sz w:val="28"/>
          <w:szCs w:val="28"/>
          <w:lang w:val="en-US" w:eastAsia="zh-CN"/>
        </w:rPr>
        <w:t>1.</w:t>
      </w:r>
      <w:r>
        <w:rPr>
          <w:rFonts w:hint="eastAsia" w:ascii="黑体" w:hAnsi="黑体" w:cs="黑体"/>
          <w:b w:val="0"/>
          <w:bCs w:val="0"/>
          <w:sz w:val="28"/>
          <w:szCs w:val="28"/>
          <w:lang w:val="en-US" w:eastAsia="zh-CN"/>
        </w:rPr>
        <w:t xml:space="preserve"> </w:t>
      </w:r>
      <w:r>
        <w:rPr>
          <w:rFonts w:hint="eastAsia" w:ascii="黑体" w:hAnsi="黑体" w:eastAsia="黑体" w:cs="黑体"/>
          <w:b w:val="0"/>
          <w:bCs w:val="0"/>
          <w:sz w:val="28"/>
          <w:szCs w:val="28"/>
        </w:rPr>
        <w:t>研究的背景</w:t>
      </w:r>
      <w:commentRangeEnd w:id="21"/>
      <w:r>
        <w:commentReference w:id="21"/>
      </w:r>
      <w:bookmarkEnd w:id="10"/>
      <w:bookmarkEnd w:id="11"/>
      <w:bookmarkEnd w:id="12"/>
      <w:bookmarkEnd w:id="13"/>
      <w:bookmarkEnd w:id="14"/>
      <w:bookmarkEnd w:id="15"/>
      <w:bookmarkEnd w:id="16"/>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ascii="Times New Roman" w:hAnsi="Times New Roman" w:cs="Times New Roman"/>
          <w:sz w:val="24"/>
          <w:szCs w:val="24"/>
          <w:highlight w:val="none"/>
        </w:rPr>
      </w:pPr>
      <w:commentRangeStart w:id="22"/>
      <w:r>
        <w:rPr>
          <w:rFonts w:hint="eastAsia" w:ascii="宋体" w:hAnsi="宋体" w:cs="宋体"/>
          <w:sz w:val="24"/>
          <w:highlight w:val="none"/>
          <w:lang w:val="en-US" w:eastAsia="zh-CN"/>
        </w:rPr>
        <w:t>随着我国经济的不断发展</w:t>
      </w:r>
      <w:commentRangeEnd w:id="22"/>
      <w:r>
        <w:commentReference w:id="22"/>
      </w:r>
      <w:r>
        <w:rPr>
          <w:rFonts w:hint="eastAsia" w:ascii="宋体" w:hAnsi="宋体" w:cs="宋体"/>
          <w:sz w:val="24"/>
          <w:highlight w:val="none"/>
          <w:lang w:val="en-US" w:eastAsia="zh-CN"/>
        </w:rPr>
        <w:t>，制造业仅依靠传统方式上产品各方面的竞争，难以长期持久的发展，想要获得深远利益，最主要的是平衡经营管理方式与企业管理理念之间的关系，以及管理是否有效。营运资金管理作为维护企业正常运行的有效保障，贯穿于企业运营的各个环节，对整个生产周期有重大影响。然而，大多数企业在发展过程中，仍存在较多因对营运资金管理的不重视、错误估量，导致在市场不景气的情况下，生产较多产品，产能过剩，出口增长逐渐减少，资金链断裂后破产的情况。对于这种现象，有效的营运资金管理，合理分配企业各项资金，面临部分业务需偿还债务时，能够最大速度加速资金周转，减少企业损失。反之，企业资金流断裂，不能继续生产，导致企业生产停滞，带来破产风险。对连接器制造业来说，市场环境的竞争以及国民生活水平的提高，使得近年来电子制造业销量不断攀升，但与全球顶级品牌之间，还存在很大差距。不仅反映在科技创新上，还反映在对营运资金管理的把控方面。低效的营运资金管理，往往体现在未能清晰的认识市场发展方向，从而导致流动资金的变现能力较弱，无法灵活应对企业在经营中因存货积压面临的风险。然而，若优先考虑流动资金的短缺无法使企业权益最大化，因此，本文以电子制造业——</w:t>
      </w:r>
      <w:r>
        <w:rPr>
          <w:rFonts w:hint="eastAsia" w:ascii="宋体" w:hAnsi="宋体"/>
        </w:rPr>
        <w:t>立讯精密工业股份有限公司</w:t>
      </w:r>
      <w:r>
        <w:rPr>
          <w:rFonts w:hint="eastAsia" w:ascii="宋体" w:hAnsi="宋体"/>
          <w:lang w:val="en-US" w:eastAsia="zh-CN"/>
        </w:rPr>
        <w:t>为研究对象</w:t>
      </w:r>
      <w:r>
        <w:rPr>
          <w:rFonts w:hint="eastAsia" w:ascii="宋体" w:hAnsi="宋体" w:cs="宋体"/>
          <w:sz w:val="24"/>
          <w:highlight w:val="none"/>
          <w:lang w:val="en-US" w:eastAsia="zh-CN"/>
        </w:rPr>
        <w:t>，基于渠道和要素的管理理论，将营运资金管理和业务环节相互联系，得出企业在发展中产生的问题，并列举优化措施，为企业带来更多利润。</w:t>
      </w:r>
    </w:p>
    <w:p>
      <w:pPr>
        <w:pStyle w:val="5"/>
        <w:keepNext/>
        <w:keepLines/>
        <w:pageBreakBefore w:val="0"/>
        <w:widowControl/>
        <w:numPr>
          <w:ilvl w:val="0"/>
          <w:numId w:val="0"/>
        </w:numPr>
        <w:kinsoku/>
        <w:wordWrap/>
        <w:overflowPunct/>
        <w:topLinePunct w:val="0"/>
        <w:autoSpaceDE/>
        <w:autoSpaceDN/>
        <w:bidi w:val="0"/>
        <w:adjustRightInd/>
        <w:snapToGrid/>
        <w:spacing w:before="0" w:after="0" w:line="360" w:lineRule="auto"/>
        <w:ind w:firstLine="552" w:firstLineChars="200"/>
        <w:textAlignment w:val="auto"/>
        <w:rPr>
          <w:rFonts w:hint="eastAsia" w:ascii="黑体" w:hAnsi="黑体" w:eastAsia="黑体" w:cs="黑体"/>
          <w:b w:val="0"/>
          <w:bCs w:val="0"/>
          <w:sz w:val="28"/>
          <w:szCs w:val="28"/>
          <w:lang w:val="en-US" w:eastAsia="zh-CN"/>
        </w:rPr>
      </w:pPr>
      <w:bookmarkStart w:id="17" w:name="_Toc5314"/>
      <w:bookmarkStart w:id="18" w:name="_Toc493957995"/>
      <w:bookmarkStart w:id="19" w:name="_Toc482619841"/>
      <w:bookmarkStart w:id="20" w:name="_Toc6470"/>
      <w:bookmarkStart w:id="21" w:name="_Toc479690658"/>
      <w:bookmarkStart w:id="22" w:name="_Toc479691023"/>
      <w:bookmarkStart w:id="23" w:name="_Toc7224"/>
      <w:r>
        <w:rPr>
          <w:rFonts w:hint="eastAsia" w:ascii="黑体" w:hAnsi="黑体" w:cs="黑体"/>
          <w:b w:val="0"/>
          <w:bCs w:val="0"/>
          <w:sz w:val="28"/>
          <w:szCs w:val="28"/>
          <w:lang w:val="en-US" w:eastAsia="zh-CN"/>
        </w:rPr>
        <w:t>2.</w:t>
      </w:r>
      <w:r>
        <w:rPr>
          <w:rFonts w:hint="eastAsia" w:ascii="黑体" w:hAnsi="黑体" w:eastAsia="黑体" w:cs="黑体"/>
          <w:b w:val="0"/>
          <w:bCs w:val="0"/>
          <w:sz w:val="28"/>
          <w:szCs w:val="28"/>
          <w:lang w:val="en-US" w:eastAsia="zh-CN"/>
        </w:rPr>
        <w:t>选题的意义</w:t>
      </w:r>
      <w:bookmarkEnd w:id="17"/>
      <w:bookmarkEnd w:id="18"/>
      <w:bookmarkEnd w:id="19"/>
      <w:bookmarkEnd w:id="20"/>
      <w:bookmarkEnd w:id="21"/>
      <w:bookmarkEnd w:id="22"/>
      <w:bookmarkEnd w:id="23"/>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本文对立讯精密工业股份有限公司基于渠道理论和要素理论的营运资金管理研究，具有理论和实践两方面意义：</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（1）理论意义</w:t>
      </w:r>
    </w:p>
    <w:p>
      <w:pPr>
        <w:keepNext w:val="0"/>
        <w:keepLines w:val="0"/>
        <w:pageBreakBefore w:val="0"/>
        <w:widowControl/>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default" w:ascii="宋体" w:hAnsi="宋体" w:cs="宋体"/>
          <w:sz w:val="24"/>
          <w:highlight w:val="yellow"/>
          <w:lang w:val="en-US" w:eastAsia="zh-CN"/>
        </w:rPr>
      </w:pPr>
      <w:r>
        <w:rPr>
          <w:rFonts w:hint="eastAsia" w:ascii="宋体" w:hAnsi="宋体" w:cs="宋体"/>
          <w:sz w:val="24"/>
          <w:highlight w:val="none"/>
          <w:lang w:val="en-US" w:eastAsia="zh-CN"/>
        </w:rPr>
        <w:t>高效的营运资金管理有助于减少企业经营成本，加强核心竞争力，为其带来更多利润。然而，现有的营运资金管理仍然存在一些显著的问题，例如，</w:t>
      </w:r>
      <w:commentRangeStart w:id="23"/>
      <w:r>
        <w:rPr>
          <w:rFonts w:hint="eastAsia" w:ascii="宋体" w:hAnsi="宋体" w:cs="宋体"/>
          <w:sz w:val="24"/>
          <w:highlight w:val="none"/>
          <w:lang w:val="en-US" w:eastAsia="zh-CN"/>
        </w:rPr>
        <w:t>营业资金更</w:t>
      </w:r>
      <w:commentRangeEnd w:id="23"/>
      <w:r>
        <w:commentReference w:id="23"/>
      </w:r>
      <w:r>
        <w:rPr>
          <w:rFonts w:hint="eastAsia" w:ascii="宋体" w:hAnsi="宋体" w:cs="宋体"/>
          <w:sz w:val="24"/>
          <w:highlight w:val="none"/>
          <w:lang w:val="en-US" w:eastAsia="zh-CN"/>
        </w:rPr>
        <w:t>多是用于单个项目的资金测算，未在多个项目中起到协助作用，不利于企业综合利益的增长，此外，营运资金管理在实施过程中因没有切实可行的评定标准，导致不能正确评估管理情况。因此，企业想要顺利解决日常经营中产生的问题，深刻洞悉自身营运资金管理特点，是极为重要的。</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（2）实践意义</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提升营运资金管理对企业来说至关重要，在正确的经营管理下，企业将会大大加强发展潜力。本文在对企业营运资金管理的研究中，对其生产经营活动中的成本进行研究，深入了解企业营运资金管理中的问题，从而提出相关解决措施，为其他同行企业提供一些启示。</w:t>
      </w:r>
    </w:p>
    <w:p>
      <w:pPr>
        <w:pStyle w:val="4"/>
        <w:keepNext/>
        <w:keepLines/>
        <w:pageBreakBefore w:val="0"/>
        <w:widowControl/>
        <w:numPr>
          <w:ilvl w:val="0"/>
          <w:numId w:val="0"/>
        </w:numPr>
        <w:kinsoku/>
        <w:wordWrap/>
        <w:overflowPunct/>
        <w:topLinePunct w:val="0"/>
        <w:autoSpaceDE/>
        <w:autoSpaceDN/>
        <w:bidi w:val="0"/>
        <w:adjustRightInd/>
        <w:snapToGrid/>
        <w:ind w:firstLine="592" w:firstLineChars="200"/>
        <w:textAlignment w:val="auto"/>
        <w:rPr>
          <w:rFonts w:hint="eastAsia" w:ascii="黑体" w:hAnsi="黑体" w:eastAsia="黑体" w:cs="黑体"/>
        </w:rPr>
      </w:pPr>
      <w:r>
        <w:rPr>
          <w:rFonts w:hint="eastAsia" w:ascii="黑体" w:hAnsi="黑体" w:cs="黑体"/>
          <w:lang w:val="en-US" w:eastAsia="zh-CN"/>
        </w:rPr>
        <w:t>（二）</w:t>
      </w:r>
      <w:bookmarkStart w:id="24" w:name="_Toc4631"/>
      <w:r>
        <w:rPr>
          <w:rFonts w:hint="eastAsia" w:ascii="黑体" w:hAnsi="黑体" w:eastAsia="黑体" w:cs="黑体"/>
          <w:lang w:val="en-US" w:eastAsia="zh-CN"/>
        </w:rPr>
        <w:t>文献综述</w:t>
      </w:r>
      <w:bookmarkEnd w:id="24"/>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针对营运资金管理，许多的学者都进行深入的研究：</w:t>
      </w:r>
    </w:p>
    <w:p>
      <w:pPr>
        <w:pStyle w:val="5"/>
        <w:keepNext/>
        <w:keepLines/>
        <w:pageBreakBefore w:val="0"/>
        <w:widowControl/>
        <w:kinsoku/>
        <w:wordWrap/>
        <w:overflowPunct/>
        <w:topLinePunct w:val="0"/>
        <w:autoSpaceDE/>
        <w:autoSpaceDN/>
        <w:bidi w:val="0"/>
        <w:adjustRightInd/>
        <w:snapToGrid/>
        <w:textAlignment w:val="auto"/>
        <w:rPr>
          <w:rFonts w:hint="eastAsia" w:ascii="黑体" w:hAnsi="黑体" w:eastAsia="黑体" w:cs="黑体"/>
          <w:sz w:val="28"/>
          <w:szCs w:val="28"/>
          <w:highlight w:val="none"/>
          <w:lang w:val="en-US" w:eastAsia="zh-CN"/>
        </w:rPr>
      </w:pPr>
      <w:bookmarkStart w:id="25" w:name="_Toc7973"/>
      <w:r>
        <w:rPr>
          <w:rFonts w:hint="eastAsia" w:ascii="黑体" w:hAnsi="黑体" w:cs="黑体"/>
          <w:b w:val="0"/>
          <w:bCs w:val="0"/>
          <w:sz w:val="28"/>
          <w:szCs w:val="28"/>
          <w:lang w:val="en-US" w:eastAsia="zh-CN"/>
        </w:rPr>
        <w:t>1</w:t>
      </w:r>
      <w:r>
        <w:rPr>
          <w:rFonts w:hint="eastAsia" w:ascii="黑体" w:hAnsi="黑体" w:eastAsia="黑体" w:cs="黑体"/>
          <w:b w:val="0"/>
          <w:bCs w:val="0"/>
          <w:lang w:val="en-US" w:eastAsia="zh-CN"/>
        </w:rPr>
        <w:t>.</w:t>
      </w:r>
      <w:r>
        <w:rPr>
          <w:rFonts w:hint="eastAsia" w:ascii="黑体" w:hAnsi="黑体" w:cs="黑体"/>
          <w:b w:val="0"/>
          <w:bCs w:val="0"/>
          <w:lang w:val="en-US" w:eastAsia="zh-CN"/>
        </w:rPr>
        <w:t>关于</w:t>
      </w:r>
      <w:r>
        <w:rPr>
          <w:rFonts w:hint="eastAsia" w:ascii="黑体" w:hAnsi="黑体" w:eastAsia="黑体" w:cs="黑体"/>
          <w:b w:val="0"/>
          <w:bCs w:val="0"/>
          <w:sz w:val="28"/>
          <w:szCs w:val="28"/>
          <w:lang w:val="en-US" w:eastAsia="zh-CN"/>
        </w:rPr>
        <w:t>营运资金管理的研究</w:t>
      </w:r>
      <w:bookmarkEnd w:id="25"/>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巩丽</w:t>
      </w:r>
      <w:r>
        <w:rPr>
          <w:rFonts w:hint="default" w:ascii="Times New Roman" w:hAnsi="Times New Roman" w:cs="Times New Roman"/>
          <w:sz w:val="24"/>
          <w:highlight w:val="none"/>
          <w:lang w:val="en-US" w:eastAsia="zh-CN"/>
        </w:rPr>
        <w:t>（</w:t>
      </w:r>
      <w:commentRangeStart w:id="24"/>
      <w:r>
        <w:rPr>
          <w:rFonts w:hint="default" w:ascii="Times New Roman" w:hAnsi="Times New Roman" w:cs="Times New Roman"/>
          <w:sz w:val="24"/>
          <w:highlight w:val="none"/>
          <w:lang w:val="en-US" w:eastAsia="zh-CN"/>
        </w:rPr>
        <w:t>2014</w:t>
      </w:r>
      <w:commentRangeEnd w:id="24"/>
      <w:r>
        <w:commentReference w:id="24"/>
      </w:r>
      <w:r>
        <w:rPr>
          <w:rFonts w:hint="default" w:ascii="Times New Roman" w:hAnsi="Times New Roman" w:cs="Times New Roman"/>
          <w:sz w:val="24"/>
          <w:highlight w:val="none"/>
          <w:lang w:val="en-US" w:eastAsia="zh-CN"/>
        </w:rPr>
        <w:t>）</w:t>
      </w:r>
      <w:r>
        <w:rPr>
          <w:rFonts w:hint="eastAsia" w:ascii="宋体" w:hAnsi="宋体" w:cs="宋体"/>
          <w:sz w:val="24"/>
          <w:highlight w:val="none"/>
          <w:lang w:val="en-US" w:eastAsia="zh-CN"/>
        </w:rPr>
        <w:t>指出，公司在对生产经营环节进行全面评估时，不仅应对营运资金管理进行重要评估，更要对其协调性进行评估，因为协调性更关注整体资金使用效率，相比其他生产经营环节较为客观，对企业成长具有较大影响。这一观点打破过去人们对于该绩效评价未能对整体有参考的偏见。为企业生产经营方向提供便捷依据</w:t>
      </w:r>
      <w:commentRangeStart w:id="25"/>
      <w:r>
        <w:rPr>
          <w:rFonts w:hint="eastAsia" w:ascii="Times New Roman" w:hAnsi="Times New Roman" w:cs="Times New Roman"/>
          <w:sz w:val="24"/>
          <w:szCs w:val="24"/>
          <w:vertAlign w:val="superscript"/>
          <w:lang w:val="en-US" w:eastAsia="zh-CN"/>
        </w:rPr>
        <w:t>[1]</w:t>
      </w:r>
      <w:commentRangeEnd w:id="25"/>
      <w:r>
        <w:commentReference w:id="25"/>
      </w:r>
      <w:r>
        <w:rPr>
          <w:rFonts w:hint="eastAsia" w:ascii="宋体" w:hAnsi="宋体" w:cs="宋体"/>
          <w:sz w:val="24"/>
          <w:highlight w:val="none"/>
          <w:lang w:val="en-US" w:eastAsia="zh-CN"/>
        </w:rPr>
        <w:t>。胡思玥、房小兵</w:t>
      </w:r>
      <w:r>
        <w:rPr>
          <w:rFonts w:hint="eastAsia" w:ascii="Times New Roman" w:hAnsi="Times New Roman" w:cs="Times New Roman"/>
          <w:sz w:val="24"/>
          <w:highlight w:val="none"/>
          <w:lang w:val="en-US" w:eastAsia="zh-CN"/>
        </w:rPr>
        <w:t>（2016）</w:t>
      </w:r>
      <w:r>
        <w:rPr>
          <w:rFonts w:hint="eastAsia" w:ascii="宋体" w:hAnsi="宋体" w:cs="宋体"/>
          <w:sz w:val="24"/>
          <w:highlight w:val="none"/>
          <w:lang w:val="en-US" w:eastAsia="zh-CN"/>
        </w:rPr>
        <w:t>根据分析羊群效应、代表性原则偏误等非理性的消费行为，资金管理绩效的形成，将两者之间进一步合理关联，找出其存在的关系，并创设相关模型，开拓管理新方向</w:t>
      </w:r>
      <w:r>
        <w:rPr>
          <w:rFonts w:hint="eastAsia" w:ascii="Times New Roman" w:hAnsi="Times New Roman" w:cs="Times New Roman"/>
          <w:sz w:val="24"/>
          <w:szCs w:val="24"/>
          <w:vertAlign w:val="superscript"/>
          <w:lang w:val="en-US" w:eastAsia="zh-CN"/>
        </w:rPr>
        <w:t>[2]</w:t>
      </w:r>
      <w:r>
        <w:rPr>
          <w:rFonts w:hint="eastAsia" w:ascii="宋体" w:hAnsi="宋体" w:cs="宋体"/>
          <w:sz w:val="24"/>
          <w:highlight w:val="none"/>
          <w:lang w:val="en-US" w:eastAsia="zh-CN"/>
        </w:rPr>
        <w:t>。郑沛杰</w:t>
      </w:r>
      <w:r>
        <w:rPr>
          <w:rFonts w:hint="eastAsia" w:ascii="Times New Roman" w:hAnsi="Times New Roman" w:cs="Times New Roman"/>
          <w:sz w:val="24"/>
          <w:highlight w:val="none"/>
          <w:lang w:val="en-US" w:eastAsia="zh-CN"/>
        </w:rPr>
        <w:t>（2019）</w:t>
      </w:r>
      <w:r>
        <w:rPr>
          <w:rFonts w:hint="eastAsia" w:ascii="宋体" w:hAnsi="宋体" w:cs="宋体"/>
          <w:sz w:val="24"/>
          <w:highlight w:val="none"/>
          <w:lang w:val="en-US" w:eastAsia="zh-CN"/>
        </w:rPr>
        <w:t>通过对零售企业现状进行分析，并以利益相关者为切入点，阐述其在营运资金管理上具有相同价值导向，从而为该企业在营运资金上存在的问题进行优化</w:t>
      </w:r>
      <w:r>
        <w:rPr>
          <w:rFonts w:hint="eastAsia" w:ascii="Times New Roman" w:hAnsi="Times New Roman" w:cs="Times New Roman"/>
          <w:sz w:val="24"/>
          <w:szCs w:val="24"/>
          <w:vertAlign w:val="superscript"/>
          <w:lang w:val="en-US" w:eastAsia="zh-CN"/>
        </w:rPr>
        <w:t>[3]</w:t>
      </w:r>
      <w:r>
        <w:rPr>
          <w:rFonts w:hint="eastAsia" w:ascii="宋体" w:hAnsi="宋体" w:cs="宋体"/>
          <w:sz w:val="24"/>
          <w:highlight w:val="none"/>
          <w:lang w:val="en-US" w:eastAsia="zh-CN"/>
        </w:rPr>
        <w:t>。</w:t>
      </w:r>
    </w:p>
    <w:p>
      <w:pPr>
        <w:pStyle w:val="5"/>
        <w:keepNext/>
        <w:keepLines/>
        <w:pageBreakBefore w:val="0"/>
        <w:widowControl/>
        <w:kinsoku/>
        <w:wordWrap/>
        <w:overflowPunct/>
        <w:topLinePunct w:val="0"/>
        <w:autoSpaceDE/>
        <w:autoSpaceDN/>
        <w:bidi w:val="0"/>
        <w:adjustRightInd/>
        <w:snapToGrid/>
        <w:textAlignment w:val="auto"/>
        <w:rPr>
          <w:rFonts w:hint="eastAsia" w:ascii="黑体" w:hAnsi="黑体" w:eastAsia="黑体" w:cs="黑体"/>
          <w:b w:val="0"/>
          <w:bCs w:val="0"/>
          <w:sz w:val="28"/>
          <w:szCs w:val="28"/>
          <w:lang w:val="en-US" w:eastAsia="zh-CN"/>
        </w:rPr>
      </w:pPr>
      <w:bookmarkStart w:id="26" w:name="_Toc27560"/>
      <w:r>
        <w:rPr>
          <w:rFonts w:hint="eastAsia" w:ascii="黑体" w:hAnsi="黑体" w:cs="黑体"/>
          <w:b w:val="0"/>
          <w:bCs w:val="0"/>
          <w:lang w:val="en-US" w:eastAsia="zh-CN"/>
        </w:rPr>
        <w:t>2.</w:t>
      </w:r>
      <w:r>
        <w:rPr>
          <w:rFonts w:hint="eastAsia" w:ascii="黑体" w:hAnsi="黑体" w:eastAsia="黑体" w:cs="黑体"/>
          <w:b w:val="0"/>
          <w:bCs w:val="0"/>
          <w:sz w:val="28"/>
          <w:szCs w:val="28"/>
          <w:lang w:val="en-US" w:eastAsia="zh-CN"/>
        </w:rPr>
        <w:t>关于营运资金管理存在的问题研究</w:t>
      </w:r>
      <w:bookmarkEnd w:id="26"/>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default" w:ascii="宋体" w:hAnsi="宋体" w:cs="宋体"/>
          <w:sz w:val="24"/>
          <w:highlight w:val="none"/>
          <w:lang w:val="en-US" w:eastAsia="zh-CN"/>
        </w:rPr>
      </w:pPr>
      <w:r>
        <w:rPr>
          <w:rFonts w:hint="eastAsia" w:ascii="宋体" w:hAnsi="宋体" w:cs="宋体"/>
          <w:sz w:val="24"/>
          <w:highlight w:val="none"/>
          <w:lang w:val="en-US" w:eastAsia="zh-CN"/>
        </w:rPr>
        <w:t>李飞</w:t>
      </w:r>
      <w:r>
        <w:rPr>
          <w:rFonts w:hint="eastAsia" w:ascii="Times New Roman" w:hAnsi="Times New Roman" w:cs="Times New Roman"/>
          <w:sz w:val="24"/>
          <w:highlight w:val="none"/>
          <w:lang w:val="en-US" w:eastAsia="zh-CN"/>
        </w:rPr>
        <w:t>（2016）</w:t>
      </w:r>
      <w:r>
        <w:rPr>
          <w:rFonts w:hint="eastAsia" w:ascii="宋体" w:hAnsi="宋体" w:cs="宋体"/>
          <w:sz w:val="24"/>
          <w:highlight w:val="none"/>
          <w:lang w:val="en-US" w:eastAsia="zh-CN"/>
        </w:rPr>
        <w:t>对上海和深圳两地的企业进行研究，得出包含现金周转期的营运资金管理与资产报酬率存在反比关系，即绩效越差，现金周转期、应收账款数值就越大</w:t>
      </w:r>
      <w:r>
        <w:rPr>
          <w:rFonts w:hint="eastAsia" w:ascii="Times New Roman" w:hAnsi="Times New Roman" w:cs="Times New Roman"/>
          <w:sz w:val="24"/>
          <w:szCs w:val="24"/>
          <w:vertAlign w:val="superscript"/>
          <w:lang w:val="en-US" w:eastAsia="zh-CN"/>
        </w:rPr>
        <w:t>[4]</w:t>
      </w:r>
      <w:r>
        <w:rPr>
          <w:rFonts w:hint="eastAsia" w:ascii="宋体" w:hAnsi="宋体" w:cs="宋体"/>
          <w:sz w:val="24"/>
          <w:highlight w:val="none"/>
          <w:lang w:val="en-US" w:eastAsia="zh-CN"/>
        </w:rPr>
        <w:t>。李聪聪</w:t>
      </w:r>
      <w:r>
        <w:rPr>
          <w:rFonts w:hint="eastAsia" w:ascii="Times New Roman" w:hAnsi="Times New Roman" w:cs="Times New Roman"/>
          <w:sz w:val="24"/>
          <w:highlight w:val="none"/>
          <w:lang w:val="en-US" w:eastAsia="zh-CN"/>
        </w:rPr>
        <w:t>（2016）</w:t>
      </w:r>
      <w:r>
        <w:rPr>
          <w:rFonts w:hint="eastAsia" w:ascii="宋体" w:hAnsi="宋体" w:cs="宋体"/>
          <w:sz w:val="24"/>
          <w:highlight w:val="none"/>
          <w:lang w:val="en-US" w:eastAsia="zh-CN"/>
        </w:rPr>
        <w:t>对国内外相关行业营运资金管理进行分析，尤其关注流动资产占比、企业财务评估。提出财务风险预估问题以及不良的流动资产、流动负债的危害、影响</w:t>
      </w:r>
      <w:r>
        <w:rPr>
          <w:rFonts w:hint="eastAsia" w:ascii="Times New Roman" w:hAnsi="Times New Roman" w:cs="Times New Roman"/>
          <w:sz w:val="24"/>
          <w:szCs w:val="24"/>
          <w:vertAlign w:val="superscript"/>
          <w:lang w:val="en-US" w:eastAsia="zh-CN"/>
        </w:rPr>
        <w:t>[5]</w:t>
      </w:r>
      <w:r>
        <w:rPr>
          <w:rFonts w:hint="eastAsia" w:ascii="宋体" w:hAnsi="宋体" w:cs="宋体"/>
          <w:sz w:val="24"/>
          <w:highlight w:val="none"/>
          <w:lang w:val="en-US" w:eastAsia="zh-CN"/>
        </w:rPr>
        <w:t>。</w:t>
      </w:r>
    </w:p>
    <w:p>
      <w:pPr>
        <w:pStyle w:val="5"/>
        <w:keepNext/>
        <w:keepLines/>
        <w:pageBreakBefore w:val="0"/>
        <w:widowControl/>
        <w:kinsoku/>
        <w:wordWrap/>
        <w:overflowPunct/>
        <w:topLinePunct w:val="0"/>
        <w:autoSpaceDE/>
        <w:autoSpaceDN/>
        <w:bidi w:val="0"/>
        <w:adjustRightInd/>
        <w:snapToGrid/>
        <w:textAlignment w:val="auto"/>
        <w:rPr>
          <w:rFonts w:hint="eastAsia" w:ascii="黑体" w:hAnsi="黑体" w:eastAsia="黑体" w:cs="黑体"/>
          <w:b w:val="0"/>
          <w:bCs w:val="0"/>
          <w:sz w:val="28"/>
          <w:szCs w:val="28"/>
          <w:lang w:val="en-US" w:eastAsia="zh-CN"/>
        </w:rPr>
      </w:pPr>
      <w:bookmarkStart w:id="27" w:name="_Toc11277"/>
      <w:r>
        <w:rPr>
          <w:rFonts w:hint="eastAsia" w:ascii="黑体" w:hAnsi="黑体" w:cs="黑体"/>
          <w:b w:val="0"/>
          <w:bCs w:val="0"/>
          <w:lang w:val="en-US" w:eastAsia="zh-CN"/>
        </w:rPr>
        <w:t>3.</w:t>
      </w:r>
      <w:r>
        <w:rPr>
          <w:rFonts w:hint="eastAsia" w:ascii="黑体" w:hAnsi="黑体" w:eastAsia="黑体" w:cs="黑体"/>
          <w:b w:val="0"/>
          <w:bCs w:val="0"/>
          <w:sz w:val="28"/>
          <w:szCs w:val="28"/>
          <w:lang w:val="en-US" w:eastAsia="zh-CN"/>
        </w:rPr>
        <w:t>关于营运资金管理问题解决方法的研究</w:t>
      </w:r>
      <w:bookmarkEnd w:id="27"/>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孙钰莹</w:t>
      </w:r>
      <w:r>
        <w:rPr>
          <w:rFonts w:hint="eastAsia" w:ascii="Times New Roman" w:hAnsi="Times New Roman" w:cs="Times New Roman"/>
          <w:sz w:val="24"/>
          <w:highlight w:val="none"/>
          <w:lang w:val="en-US" w:eastAsia="zh-CN"/>
        </w:rPr>
        <w:t>（2017）</w:t>
      </w:r>
      <w:r>
        <w:rPr>
          <w:rFonts w:hint="eastAsia" w:ascii="宋体" w:hAnsi="宋体" w:cs="宋体"/>
          <w:sz w:val="24"/>
          <w:highlight w:val="none"/>
          <w:lang w:val="en-US" w:eastAsia="zh-CN"/>
        </w:rPr>
        <w:t>基于渠道管理理论和要素理论，以同仁堂集团为案例，对营运资金管理进行分析，点出企业存在的问题，并列举出优化方式</w:t>
      </w:r>
      <w:r>
        <w:rPr>
          <w:rFonts w:hint="eastAsia" w:ascii="Times New Roman" w:hAnsi="Times New Roman" w:cs="Times New Roman"/>
          <w:sz w:val="24"/>
          <w:szCs w:val="24"/>
          <w:vertAlign w:val="superscript"/>
          <w:lang w:val="en-US" w:eastAsia="zh-CN"/>
        </w:rPr>
        <w:t>[6]</w:t>
      </w:r>
      <w:r>
        <w:rPr>
          <w:rFonts w:hint="eastAsia" w:ascii="宋体" w:hAnsi="宋体" w:cs="宋体"/>
          <w:sz w:val="24"/>
          <w:highlight w:val="none"/>
          <w:lang w:val="en-US" w:eastAsia="zh-CN"/>
        </w:rPr>
        <w:t>。舒思琪</w:t>
      </w:r>
      <w:r>
        <w:rPr>
          <w:rFonts w:hint="eastAsia" w:ascii="Times New Roman" w:hAnsi="Times New Roman" w:cs="Times New Roman"/>
          <w:sz w:val="24"/>
          <w:highlight w:val="none"/>
          <w:lang w:val="en-US" w:eastAsia="zh-CN"/>
        </w:rPr>
        <w:t>（2018）</w:t>
      </w:r>
      <w:r>
        <w:rPr>
          <w:rFonts w:hint="eastAsia" w:ascii="宋体" w:hAnsi="宋体" w:cs="宋体"/>
          <w:sz w:val="24"/>
          <w:highlight w:val="none"/>
          <w:lang w:val="en-US" w:eastAsia="zh-CN"/>
        </w:rPr>
        <w:t>将企业营运资金分为营业和投资，以兴源公司为研究对象，阐述缓解营运资金短缺措施，即良好的供应商关系以及合理地激励制度。建立相关理论、实践模型，得出促进企业可持续发展的改进方案，对市场具有一定的应用价值</w:t>
      </w:r>
      <w:r>
        <w:rPr>
          <w:rFonts w:hint="eastAsia" w:ascii="Times New Roman" w:hAnsi="Times New Roman" w:cs="Times New Roman"/>
          <w:sz w:val="24"/>
          <w:szCs w:val="24"/>
          <w:vertAlign w:val="superscript"/>
          <w:lang w:val="en-US" w:eastAsia="zh-CN"/>
        </w:rPr>
        <w:t>[7]</w:t>
      </w:r>
      <w:r>
        <w:rPr>
          <w:rFonts w:hint="eastAsia" w:ascii="宋体" w:hAnsi="宋体" w:cs="宋体"/>
          <w:sz w:val="24"/>
          <w:highlight w:val="none"/>
          <w:lang w:val="en-US" w:eastAsia="zh-CN"/>
        </w:rPr>
        <w:t>。潘子羿</w:t>
      </w:r>
      <w:r>
        <w:rPr>
          <w:rFonts w:hint="default" w:ascii="Times New Roman" w:hAnsi="Times New Roman" w:cs="Times New Roman"/>
          <w:sz w:val="24"/>
          <w:highlight w:val="none"/>
          <w:lang w:val="en-US" w:eastAsia="zh-CN"/>
        </w:rPr>
        <w:t>（2018）</w:t>
      </w:r>
      <w:r>
        <w:rPr>
          <w:rFonts w:hint="eastAsia" w:ascii="宋体" w:hAnsi="宋体" w:cs="宋体"/>
          <w:sz w:val="24"/>
          <w:highlight w:val="none"/>
          <w:lang w:val="en-US" w:eastAsia="zh-CN"/>
        </w:rPr>
        <w:t>从渠道理论出发，将永辉超市作为案例，客观评价其资金管理绩效，分析营运资金流转中存货存在的三态变化，并且就营运资金管理中的转型提出合理化建议</w:t>
      </w:r>
      <w:r>
        <w:rPr>
          <w:rFonts w:hint="eastAsia" w:ascii="Times New Roman" w:hAnsi="Times New Roman" w:cs="Times New Roman"/>
          <w:sz w:val="24"/>
          <w:szCs w:val="24"/>
          <w:vertAlign w:val="superscript"/>
          <w:lang w:val="en-US" w:eastAsia="zh-CN"/>
        </w:rPr>
        <w:t>[8]</w:t>
      </w:r>
      <w:r>
        <w:rPr>
          <w:rFonts w:hint="eastAsia" w:ascii="宋体" w:hAnsi="宋体" w:cs="宋体"/>
          <w:sz w:val="24"/>
          <w:highlight w:val="none"/>
          <w:lang w:val="en-US" w:eastAsia="zh-CN"/>
        </w:rPr>
        <w:t>。</w:t>
      </w:r>
      <w:r>
        <w:rPr>
          <w:rFonts w:hint="default" w:ascii="Times New Roman" w:hAnsi="Times New Roman" w:cs="Times New Roman"/>
          <w:sz w:val="24"/>
          <w:highlight w:val="none"/>
          <w:lang w:val="en-US" w:eastAsia="zh-CN"/>
        </w:rPr>
        <w:t>Akbar Ahsan</w:t>
      </w:r>
      <w:r>
        <w:rPr>
          <w:rFonts w:hint="eastAsia" w:ascii="Times New Roman" w:hAnsi="Times New Roman" w:cs="Times New Roman"/>
          <w:sz w:val="24"/>
          <w:highlight w:val="none"/>
          <w:lang w:val="en-US" w:eastAsia="zh-CN"/>
        </w:rPr>
        <w:t>等</w:t>
      </w:r>
      <w:r>
        <w:rPr>
          <w:rFonts w:hint="default" w:ascii="Times New Roman" w:hAnsi="Times New Roman" w:cs="Times New Roman"/>
          <w:sz w:val="24"/>
          <w:highlight w:val="none"/>
          <w:lang w:val="en-US" w:eastAsia="zh-CN"/>
        </w:rPr>
        <w:t>（20</w:t>
      </w:r>
      <w:r>
        <w:rPr>
          <w:rFonts w:hint="eastAsia" w:ascii="Times New Roman" w:hAnsi="Times New Roman" w:cs="Times New Roman"/>
          <w:sz w:val="24"/>
          <w:highlight w:val="none"/>
          <w:lang w:val="en-US" w:eastAsia="zh-CN"/>
        </w:rPr>
        <w:t>21</w:t>
      </w:r>
      <w:r>
        <w:rPr>
          <w:rFonts w:hint="default" w:ascii="Times New Roman" w:hAnsi="Times New Roman" w:cs="Times New Roman"/>
          <w:sz w:val="24"/>
          <w:highlight w:val="none"/>
          <w:lang w:val="en-US" w:eastAsia="zh-CN"/>
        </w:rPr>
        <w:t>）</w:t>
      </w:r>
      <w:r>
        <w:rPr>
          <w:rFonts w:hint="eastAsia" w:ascii="Times New Roman" w:hAnsi="Times New Roman" w:cs="Times New Roman"/>
          <w:sz w:val="24"/>
          <w:highlight w:val="none"/>
          <w:lang w:val="en-US" w:eastAsia="zh-CN"/>
        </w:rPr>
        <w:t>认为</w:t>
      </w:r>
      <w:r>
        <w:rPr>
          <w:rFonts w:hint="default" w:ascii="Times New Roman" w:hAnsi="Times New Roman" w:eastAsia="宋体" w:cs="Times New Roman"/>
          <w:color w:val="000000" w:themeColor="text1"/>
          <w:sz w:val="24"/>
          <w:szCs w:val="24"/>
          <w:shd w:val="clear" w:color="auto" w:fill="auto"/>
          <w14:textFill>
            <w14:solidFill>
              <w14:schemeClr w14:val="tx1"/>
            </w14:solidFill>
          </w14:textFill>
        </w:rPr>
        <w:t>企业应尽最大努力加快流动资产周转</w:t>
      </w:r>
      <w:r>
        <w:rPr>
          <w:rFonts w:hint="default" w:ascii="Times New Roman" w:hAnsi="Times New Roman" w:eastAsia="宋体" w:cs="Times New Roman"/>
          <w:color w:val="000000" w:themeColor="text1"/>
          <w:sz w:val="24"/>
          <w:szCs w:val="24"/>
          <w:shd w:val="clear" w:color="auto" w:fill="auto"/>
          <w:lang w:eastAsia="zh-CN"/>
          <w14:textFill>
            <w14:solidFill>
              <w14:schemeClr w14:val="tx1"/>
            </w14:solidFill>
          </w14:textFill>
        </w:rPr>
        <w:t>，</w:t>
      </w:r>
      <w:r>
        <w:rPr>
          <w:rFonts w:hint="default" w:ascii="Times New Roman" w:hAnsi="Times New Roman" w:eastAsia="宋体" w:cs="Times New Roman"/>
          <w:color w:val="000000" w:themeColor="text1"/>
          <w:sz w:val="24"/>
          <w:szCs w:val="24"/>
          <w:shd w:val="clear" w:color="auto" w:fill="auto"/>
          <w:lang w:val="en-US" w:eastAsia="zh-CN"/>
          <w14:textFill>
            <w14:solidFill>
              <w14:schemeClr w14:val="tx1"/>
            </w14:solidFill>
          </w14:textFill>
        </w:rPr>
        <w:t>其中最常见的方法是</w:t>
      </w:r>
      <w:r>
        <w:rPr>
          <w:rFonts w:hint="default" w:ascii="Times New Roman" w:hAnsi="Times New Roman" w:eastAsia="宋体" w:cs="Times New Roman"/>
          <w:color w:val="000000" w:themeColor="text1"/>
          <w:sz w:val="24"/>
          <w:szCs w:val="24"/>
          <w:shd w:val="clear" w:color="auto" w:fill="auto"/>
          <w14:textFill>
            <w14:solidFill>
              <w14:schemeClr w14:val="tx1"/>
            </w14:solidFill>
          </w14:textFill>
        </w:rPr>
        <w:t>通过缩短</w:t>
      </w:r>
      <w:r>
        <w:rPr>
          <w:rFonts w:hint="default" w:ascii="Times New Roman" w:hAnsi="Times New Roman" w:eastAsia="宋体" w:cs="Times New Roman"/>
          <w:color w:val="000000" w:themeColor="text1"/>
          <w:sz w:val="24"/>
          <w:szCs w:val="24"/>
          <w:shd w:val="clear" w:color="auto" w:fill="auto"/>
          <w:lang w:val="en-US" w:eastAsia="zh-CN"/>
          <w14:textFill>
            <w14:solidFill>
              <w14:schemeClr w14:val="tx1"/>
            </w14:solidFill>
          </w14:textFill>
        </w:rPr>
        <w:t>营运</w:t>
      </w:r>
      <w:r>
        <w:rPr>
          <w:rFonts w:hint="default" w:ascii="Times New Roman" w:hAnsi="Times New Roman" w:eastAsia="宋体" w:cs="Times New Roman"/>
          <w:color w:val="000000" w:themeColor="text1"/>
          <w:sz w:val="24"/>
          <w:szCs w:val="24"/>
          <w:shd w:val="clear" w:color="auto" w:fill="auto"/>
          <w14:textFill>
            <w14:solidFill>
              <w14:schemeClr w14:val="tx1"/>
            </w14:solidFill>
          </w14:textFill>
        </w:rPr>
        <w:t>周期来加速流动资金的周转</w:t>
      </w:r>
      <w:r>
        <w:rPr>
          <w:rFonts w:hint="default" w:ascii="Times New Roman" w:hAnsi="Times New Roman" w:eastAsia="宋体" w:cs="Times New Roman"/>
          <w:color w:val="000000" w:themeColor="text1"/>
          <w:sz w:val="24"/>
          <w:szCs w:val="24"/>
          <w:shd w:val="clear" w:color="auto" w:fill="auto"/>
          <w:vertAlign w:val="superscript"/>
          <w:lang w:val="en-US"/>
          <w14:textFill>
            <w14:solidFill>
              <w14:schemeClr w14:val="tx1"/>
            </w14:solidFill>
          </w14:textFill>
        </w:rPr>
        <w:t>[</w:t>
      </w:r>
      <w:r>
        <w:rPr>
          <w:rFonts w:hint="eastAsia" w:ascii="Times New Roman" w:hAnsi="Times New Roman" w:cs="Times New Roman"/>
          <w:color w:val="000000" w:themeColor="text1"/>
          <w:sz w:val="24"/>
          <w:szCs w:val="24"/>
          <w:shd w:val="clear" w:color="auto" w:fill="auto"/>
          <w:vertAlign w:val="superscript"/>
          <w:lang w:val="en-US" w:eastAsia="zh-CN"/>
          <w14:textFill>
            <w14:solidFill>
              <w14:schemeClr w14:val="tx1"/>
            </w14:solidFill>
          </w14:textFill>
        </w:rPr>
        <w:t>9</w:t>
      </w:r>
      <w:r>
        <w:rPr>
          <w:rFonts w:hint="default" w:ascii="Times New Roman" w:hAnsi="Times New Roman" w:eastAsia="宋体" w:cs="Times New Roman"/>
          <w:color w:val="000000" w:themeColor="text1"/>
          <w:sz w:val="24"/>
          <w:szCs w:val="24"/>
          <w:shd w:val="clear" w:color="auto" w:fill="auto"/>
          <w:vertAlign w:val="superscript"/>
          <w:lang w:val="en-US"/>
          <w14:textFill>
            <w14:solidFill>
              <w14:schemeClr w14:val="tx1"/>
            </w14:solidFill>
          </w14:textFill>
        </w:rPr>
        <w:t>]</w:t>
      </w:r>
      <w:r>
        <w:rPr>
          <w:rFonts w:hint="default" w:ascii="Times New Roman" w:hAnsi="Times New Roman" w:eastAsia="宋体" w:cs="Times New Roman"/>
          <w:color w:val="000000" w:themeColor="text1"/>
          <w:sz w:val="24"/>
          <w:szCs w:val="24"/>
          <w:shd w:val="clear" w:color="auto" w:fill="auto"/>
          <w:vertAlign w:val="baseline"/>
          <w:lang w:val="en-US" w:eastAsia="zh-CN"/>
          <w14:textFill>
            <w14:solidFill>
              <w14:schemeClr w14:val="tx1"/>
            </w14:solidFill>
          </w14:textFill>
        </w:rPr>
        <w:t>。</w:t>
      </w:r>
      <w:r>
        <w:rPr>
          <w:rFonts w:hint="default" w:ascii="Times New Roman" w:hAnsi="Times New Roman" w:eastAsia="宋体" w:cs="Times New Roman"/>
          <w:i w:val="0"/>
          <w:iCs w:val="0"/>
          <w:caps w:val="0"/>
          <w:color w:val="000000" w:themeColor="text1"/>
          <w:spacing w:val="0"/>
          <w:sz w:val="24"/>
          <w:szCs w:val="24"/>
          <w:shd w:val="clear" w:color="auto" w:fill="auto"/>
          <w:lang w:val="en-US" w:eastAsia="zh-CN"/>
          <w14:textFill>
            <w14:solidFill>
              <w14:schemeClr w14:val="tx1"/>
            </w14:solidFill>
          </w14:textFill>
        </w:rPr>
        <w:t>余颖（2020）就分析出的问题提出以下措施：首先要完善管理制度；其次要加强应收账款的回收；同时还要加强存货的管理；最重要的是要重视人才的培养</w:t>
      </w:r>
      <w:r>
        <w:rPr>
          <w:rFonts w:hint="default" w:ascii="Times New Roman" w:hAnsi="Times New Roman" w:eastAsia="宋体" w:cs="Times New Roman"/>
          <w:i w:val="0"/>
          <w:iCs w:val="0"/>
          <w:caps w:val="0"/>
          <w:color w:val="000000" w:themeColor="text1"/>
          <w:spacing w:val="0"/>
          <w:sz w:val="24"/>
          <w:szCs w:val="24"/>
          <w:shd w:val="clear" w:color="auto" w:fill="auto"/>
          <w:vertAlign w:val="superscript"/>
          <w:lang w:val="en-US" w:eastAsia="zh-CN"/>
          <w14:textFill>
            <w14:solidFill>
              <w14:schemeClr w14:val="tx1"/>
            </w14:solidFill>
          </w14:textFill>
        </w:rPr>
        <w:t>[</w:t>
      </w:r>
      <w:r>
        <w:rPr>
          <w:rFonts w:hint="eastAsia" w:ascii="Times New Roman" w:hAnsi="Times New Roman" w:cs="Times New Roman"/>
          <w:i w:val="0"/>
          <w:iCs w:val="0"/>
          <w:caps w:val="0"/>
          <w:color w:val="000000" w:themeColor="text1"/>
          <w:spacing w:val="0"/>
          <w:sz w:val="24"/>
          <w:szCs w:val="24"/>
          <w:shd w:val="clear" w:color="auto" w:fill="auto"/>
          <w:vertAlign w:val="superscript"/>
          <w:lang w:val="en-US" w:eastAsia="zh-CN"/>
          <w14:textFill>
            <w14:solidFill>
              <w14:schemeClr w14:val="tx1"/>
            </w14:solidFill>
          </w14:textFill>
        </w:rPr>
        <w:t>10</w:t>
      </w:r>
      <w:r>
        <w:rPr>
          <w:rFonts w:hint="default" w:ascii="Times New Roman" w:hAnsi="Times New Roman" w:eastAsia="宋体" w:cs="Times New Roman"/>
          <w:i w:val="0"/>
          <w:iCs w:val="0"/>
          <w:caps w:val="0"/>
          <w:color w:val="000000" w:themeColor="text1"/>
          <w:spacing w:val="0"/>
          <w:sz w:val="24"/>
          <w:szCs w:val="24"/>
          <w:shd w:val="clear" w:color="auto" w:fill="auto"/>
          <w:vertAlign w:val="superscript"/>
          <w:lang w:val="en-US" w:eastAsia="zh-CN"/>
          <w14:textFill>
            <w14:solidFill>
              <w14:schemeClr w14:val="tx1"/>
            </w14:solidFill>
          </w14:textFill>
        </w:rPr>
        <w:t>]</w:t>
      </w:r>
      <w:r>
        <w:rPr>
          <w:rFonts w:hint="default" w:ascii="Times New Roman" w:hAnsi="Times New Roman" w:eastAsia="宋体" w:cs="Times New Roman"/>
          <w:i w:val="0"/>
          <w:iCs w:val="0"/>
          <w:caps w:val="0"/>
          <w:color w:val="000000" w:themeColor="text1"/>
          <w:spacing w:val="0"/>
          <w:sz w:val="24"/>
          <w:szCs w:val="24"/>
          <w:shd w:val="clear" w:color="auto" w:fill="auto"/>
          <w:lang w:val="en-US" w:eastAsia="zh-CN"/>
          <w14:textFill>
            <w14:solidFill>
              <w14:schemeClr w14:val="tx1"/>
            </w14:solidFill>
          </w14:textFill>
        </w:rPr>
        <w:t>。</w:t>
      </w:r>
      <w:r>
        <w:rPr>
          <w:rFonts w:hint="default" w:ascii="Times New Roman" w:hAnsi="Times New Roman" w:eastAsia="宋体" w:cs="Times New Roman"/>
          <w:i w:val="0"/>
          <w:iCs w:val="0"/>
          <w:caps w:val="0"/>
          <w:color w:val="000000" w:themeColor="text1"/>
          <w:spacing w:val="0"/>
          <w:sz w:val="24"/>
          <w:szCs w:val="24"/>
          <w:highlight w:val="none"/>
          <w:shd w:val="clear" w:color="auto" w:fill="auto"/>
          <w:lang w:val="en-US" w:eastAsia="zh-CN"/>
          <w14:textFill>
            <w14:solidFill>
              <w14:schemeClr w14:val="tx1"/>
            </w14:solidFill>
          </w14:textFill>
        </w:rPr>
        <w:t>张敏（2019）就建筑企业的营运资金管理存在的问题提出措施，认为首先应该完善营运资金结构；其次要加强全面预算管理工作；同时要加强与税务部门的联系；最后不能忽视要兼顾成本与效益</w:t>
      </w:r>
      <w:r>
        <w:rPr>
          <w:rFonts w:hint="default" w:ascii="Times New Roman" w:hAnsi="Times New Roman" w:eastAsia="宋体" w:cs="Times New Roman"/>
          <w:i w:val="0"/>
          <w:iCs w:val="0"/>
          <w:caps w:val="0"/>
          <w:color w:val="000000" w:themeColor="text1"/>
          <w:spacing w:val="0"/>
          <w:sz w:val="24"/>
          <w:szCs w:val="24"/>
          <w:highlight w:val="none"/>
          <w:shd w:val="clear" w:color="auto" w:fill="auto"/>
          <w:vertAlign w:val="superscript"/>
          <w:lang w:val="en-US" w:eastAsia="zh-CN"/>
          <w14:textFill>
            <w14:solidFill>
              <w14:schemeClr w14:val="tx1"/>
            </w14:solidFill>
          </w14:textFill>
        </w:rPr>
        <w:t>[1</w:t>
      </w:r>
      <w:r>
        <w:rPr>
          <w:rFonts w:hint="eastAsia" w:ascii="Times New Roman" w:hAnsi="Times New Roman" w:cs="Times New Roman"/>
          <w:i w:val="0"/>
          <w:iCs w:val="0"/>
          <w:caps w:val="0"/>
          <w:color w:val="000000" w:themeColor="text1"/>
          <w:spacing w:val="0"/>
          <w:sz w:val="24"/>
          <w:szCs w:val="24"/>
          <w:highlight w:val="none"/>
          <w:shd w:val="clear" w:color="auto" w:fill="auto"/>
          <w:vertAlign w:val="superscript"/>
          <w:lang w:val="en-US" w:eastAsia="zh-CN"/>
          <w14:textFill>
            <w14:solidFill>
              <w14:schemeClr w14:val="tx1"/>
            </w14:solidFill>
          </w14:textFill>
        </w:rPr>
        <w:t>1</w:t>
      </w:r>
      <w:r>
        <w:rPr>
          <w:rFonts w:hint="default" w:ascii="Times New Roman" w:hAnsi="Times New Roman" w:eastAsia="宋体" w:cs="Times New Roman"/>
          <w:i w:val="0"/>
          <w:iCs w:val="0"/>
          <w:caps w:val="0"/>
          <w:color w:val="000000" w:themeColor="text1"/>
          <w:spacing w:val="0"/>
          <w:sz w:val="24"/>
          <w:szCs w:val="24"/>
          <w:highlight w:val="none"/>
          <w:shd w:val="clear" w:color="auto" w:fill="auto"/>
          <w:vertAlign w:val="superscript"/>
          <w:lang w:val="en-US" w:eastAsia="zh-CN"/>
          <w14:textFill>
            <w14:solidFill>
              <w14:schemeClr w14:val="tx1"/>
            </w14:solidFill>
          </w14:textFill>
        </w:rPr>
        <w:t>]</w:t>
      </w:r>
      <w:r>
        <w:rPr>
          <w:rFonts w:hint="default" w:ascii="Times New Roman" w:hAnsi="Times New Roman" w:eastAsia="宋体" w:cs="Times New Roman"/>
          <w:i w:val="0"/>
          <w:iCs w:val="0"/>
          <w:caps w:val="0"/>
          <w:color w:val="000000" w:themeColor="text1"/>
          <w:spacing w:val="0"/>
          <w:sz w:val="24"/>
          <w:szCs w:val="24"/>
          <w:highlight w:val="none"/>
          <w:shd w:val="clear" w:color="auto" w:fill="auto"/>
          <w:lang w:val="en-US" w:eastAsia="zh-CN"/>
          <w14:textFill>
            <w14:solidFill>
              <w14:schemeClr w14:val="tx1"/>
            </w14:solidFill>
          </w14:textFill>
        </w:rPr>
        <w:t>。</w:t>
      </w:r>
    </w:p>
    <w:p>
      <w:pPr>
        <w:pStyle w:val="4"/>
        <w:keepNext/>
        <w:keepLines/>
        <w:pageBreakBefore w:val="0"/>
        <w:widowControl/>
        <w:numPr>
          <w:ilvl w:val="0"/>
          <w:numId w:val="0"/>
        </w:numPr>
        <w:kinsoku/>
        <w:wordWrap/>
        <w:overflowPunct/>
        <w:topLinePunct w:val="0"/>
        <w:autoSpaceDE/>
        <w:autoSpaceDN/>
        <w:bidi w:val="0"/>
        <w:adjustRightInd/>
        <w:snapToGrid/>
        <w:ind w:firstLine="592" w:firstLineChars="200"/>
        <w:textAlignment w:val="auto"/>
        <w:rPr>
          <w:rFonts w:hint="eastAsia" w:ascii="黑体" w:hAnsi="黑体" w:eastAsia="黑体" w:cs="黑体"/>
        </w:rPr>
      </w:pPr>
      <w:r>
        <w:rPr>
          <w:rFonts w:hint="eastAsia" w:ascii="黑体" w:hAnsi="黑体" w:cs="黑体"/>
          <w:lang w:val="en-US" w:eastAsia="zh-CN"/>
        </w:rPr>
        <w:t>（三）</w:t>
      </w:r>
      <w:bookmarkStart w:id="28" w:name="_Toc13892"/>
      <w:r>
        <w:rPr>
          <w:rFonts w:hint="eastAsia" w:ascii="黑体" w:hAnsi="黑体" w:eastAsia="黑体" w:cs="黑体"/>
        </w:rPr>
        <w:t>研究内容及方法</w:t>
      </w:r>
      <w:bookmarkEnd w:id="28"/>
    </w:p>
    <w:p>
      <w:pPr>
        <w:pStyle w:val="5"/>
        <w:keepNext/>
        <w:keepLines/>
        <w:pageBreakBefore w:val="0"/>
        <w:widowControl/>
        <w:kinsoku/>
        <w:wordWrap/>
        <w:overflowPunct/>
        <w:topLinePunct w:val="0"/>
        <w:autoSpaceDE/>
        <w:autoSpaceDN/>
        <w:bidi w:val="0"/>
        <w:adjustRightInd/>
        <w:snapToGrid/>
        <w:textAlignment w:val="auto"/>
        <w:rPr>
          <w:rFonts w:hint="eastAsia" w:ascii="黑体" w:hAnsi="黑体" w:eastAsia="黑体" w:cs="黑体"/>
          <w:b w:val="0"/>
          <w:bCs w:val="0"/>
          <w:lang w:val="en-US" w:eastAsia="zh-CN"/>
        </w:rPr>
      </w:pPr>
      <w:bookmarkStart w:id="29" w:name="_Toc482619846"/>
      <w:bookmarkStart w:id="30" w:name="_Toc493958000"/>
      <w:bookmarkStart w:id="31" w:name="_Toc10767"/>
      <w:bookmarkStart w:id="32" w:name="_Toc15834"/>
      <w:bookmarkStart w:id="33" w:name="_Toc18668"/>
      <w:r>
        <w:rPr>
          <w:rFonts w:hint="eastAsia" w:ascii="黑体" w:hAnsi="黑体" w:eastAsia="黑体" w:cs="黑体"/>
          <w:b w:val="0"/>
          <w:bCs w:val="0"/>
          <w:lang w:val="en-US" w:eastAsia="zh-CN"/>
        </w:rPr>
        <w:t>1.研究内容</w:t>
      </w:r>
      <w:bookmarkEnd w:id="29"/>
      <w:bookmarkEnd w:id="30"/>
      <w:bookmarkEnd w:id="31"/>
      <w:bookmarkEnd w:id="32"/>
      <w:bookmarkEnd w:id="33"/>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 xml:space="preserve">本文由六大部分构成。 </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 xml:space="preserve">第一部分为引言，该部分介绍了文章研究背景、研究意义、相关文献综述以及本文的研究内容与方法。 </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default" w:ascii="宋体" w:hAnsi="宋体" w:cs="宋体"/>
          <w:sz w:val="24"/>
          <w:highlight w:val="none"/>
          <w:lang w:val="en-US" w:eastAsia="zh-CN"/>
        </w:rPr>
      </w:pPr>
      <w:r>
        <w:rPr>
          <w:rFonts w:hint="eastAsia" w:ascii="宋体" w:hAnsi="宋体" w:cs="宋体"/>
          <w:sz w:val="24"/>
          <w:highlight w:val="none"/>
          <w:lang w:val="en-US" w:eastAsia="zh-CN"/>
        </w:rPr>
        <w:t>第二部分为营运资金管理相关理论综述，该部分首先对营运资金和营运资金管理的相关概念进行概述，其次介绍了基于要素的营运资金管理绩效评价理论，为了问题分析的客观性，最后又阐释了基于渠道的营运资金管理绩效评价理论，旨在为全面分析立讯精密营运资金管理问题打下坚实基础。</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第三部分为立讯精密营运资金管理现状，该部分先是对立讯精密背景以及财务状况、营运资金结构进行概括，其次对其现存营运资金管理进行客观性分析，接着从要素管理和渠道管理两方面具体阐述，总括立讯精密在经营管理中出现的问题。</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default" w:ascii="宋体" w:hAnsi="宋体" w:cs="宋体"/>
          <w:sz w:val="24"/>
          <w:highlight w:val="none"/>
          <w:lang w:val="en-US" w:eastAsia="zh-CN"/>
        </w:rPr>
      </w:pPr>
      <w:r>
        <w:rPr>
          <w:rFonts w:hint="eastAsia" w:ascii="宋体" w:hAnsi="宋体" w:cs="宋体"/>
          <w:sz w:val="24"/>
          <w:highlight w:val="none"/>
          <w:lang w:val="en-US" w:eastAsia="zh-CN"/>
        </w:rPr>
        <w:t>第四部分为立讯精密营运资金管理存在的问题，该部分由现状分析，结合具体数据，从采购、生产、营销三个方面详细列举立讯精密当前存在的各项问题。</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default" w:ascii="宋体" w:hAnsi="宋体" w:cs="宋体"/>
          <w:sz w:val="24"/>
          <w:highlight w:val="none"/>
          <w:lang w:val="en-US" w:eastAsia="zh-CN"/>
        </w:rPr>
      </w:pPr>
      <w:r>
        <w:rPr>
          <w:rFonts w:hint="eastAsia" w:ascii="宋体" w:hAnsi="宋体" w:cs="宋体"/>
          <w:sz w:val="24"/>
          <w:highlight w:val="none"/>
          <w:lang w:val="en-US" w:eastAsia="zh-CN"/>
        </w:rPr>
        <w:t>第五部分为立讯精密营运资金管理对策，该部分根据第四部分提出的具体问题出发，对其进行探索研究，提出各项解决措施，有力保障企业经济利益。</w:t>
      </w:r>
    </w:p>
    <w:p>
      <w:pPr>
        <w:keepNext w:val="0"/>
        <w:keepLines w:val="0"/>
        <w:pageBreakBefore w:val="0"/>
        <w:widowControl/>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第六部分为总结，旨在对论文的研究过程、研究不足点以及主要研究角度原因进行总结，并提出展望。</w:t>
      </w:r>
    </w:p>
    <w:p>
      <w:pPr>
        <w:pStyle w:val="5"/>
        <w:keepNext w:val="0"/>
        <w:keepLines w:val="0"/>
        <w:pageBreakBefore w:val="0"/>
        <w:widowControl/>
        <w:numPr>
          <w:ilvl w:val="0"/>
          <w:numId w:val="0"/>
        </w:numPr>
        <w:kinsoku/>
        <w:wordWrap/>
        <w:overflowPunct/>
        <w:topLinePunct w:val="0"/>
        <w:autoSpaceDE/>
        <w:autoSpaceDN/>
        <w:bidi w:val="0"/>
        <w:adjustRightInd/>
        <w:snapToGrid/>
        <w:ind w:leftChars="200"/>
        <w:textAlignment w:val="auto"/>
        <w:rPr>
          <w:rFonts w:hint="eastAsia"/>
          <w:lang w:val="en-US" w:eastAsia="zh-CN"/>
        </w:rPr>
      </w:pPr>
      <w:bookmarkStart w:id="34" w:name="_Toc23321"/>
      <w:bookmarkStart w:id="35" w:name="_Toc6541"/>
      <w:bookmarkStart w:id="36" w:name="_Toc482619847"/>
      <w:bookmarkStart w:id="37" w:name="_Toc493958001"/>
      <w:bookmarkStart w:id="38" w:name="_Toc10475"/>
      <w:r>
        <w:rPr>
          <w:rFonts w:hint="eastAsia" w:ascii="黑体" w:hAnsi="黑体" w:cs="黑体"/>
          <w:b w:val="0"/>
          <w:bCs w:val="0"/>
          <w:lang w:val="en-US" w:eastAsia="zh-CN"/>
        </w:rPr>
        <w:t>2.</w:t>
      </w:r>
      <w:r>
        <w:rPr>
          <w:rFonts w:hint="eastAsia"/>
          <w:lang w:val="en-US" w:eastAsia="zh-CN"/>
        </w:rPr>
        <w:t>研究方法</w:t>
      </w:r>
      <w:bookmarkEnd w:id="34"/>
      <w:bookmarkEnd w:id="35"/>
      <w:bookmarkEnd w:id="36"/>
      <w:bookmarkEnd w:id="37"/>
      <w:bookmarkEnd w:id="38"/>
    </w:p>
    <w:p>
      <w:pPr>
        <w:keepNext w:val="0"/>
        <w:keepLines w:val="0"/>
        <w:pageBreakBefore w:val="0"/>
        <w:widowControl/>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bookmarkStart w:id="39" w:name="_Toc879"/>
      <w:bookmarkStart w:id="40" w:name="_Toc479691027"/>
      <w:bookmarkStart w:id="41" w:name="_Toc493958002"/>
      <w:bookmarkStart w:id="42" w:name="_Toc11774"/>
      <w:bookmarkStart w:id="43" w:name="_Toc482619848"/>
      <w:bookmarkStart w:id="44" w:name="_Toc479690662"/>
      <w:bookmarkStart w:id="45" w:name="_Toc478656038"/>
      <w:r>
        <w:rPr>
          <w:rFonts w:hint="eastAsia" w:ascii="宋体" w:hAnsi="宋体" w:cs="宋体"/>
          <w:sz w:val="24"/>
          <w:highlight w:val="none"/>
          <w:lang w:val="en-US" w:eastAsia="zh-CN"/>
        </w:rPr>
        <w:t>本文采取文献综述法和案例研究法相联系的研究方法：</w:t>
      </w:r>
    </w:p>
    <w:p>
      <w:pPr>
        <w:keepNext w:val="0"/>
        <w:keepLines w:val="0"/>
        <w:pageBreakBefore w:val="0"/>
        <w:widowControl/>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（1）文献综述法</w:t>
      </w:r>
    </w:p>
    <w:p>
      <w:pPr>
        <w:keepNext w:val="0"/>
        <w:keepLines w:val="0"/>
        <w:pageBreakBefore w:val="0"/>
        <w:widowControl/>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主要是对国内外文献综述的整理及探讨，以及对相关理论的归集，指出企营运资金管理方面出现的各种问题并提出相应的优化方案。</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（2）案例研究法</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default" w:ascii="宋体" w:hAnsi="宋体" w:cs="宋体"/>
          <w:sz w:val="24"/>
          <w:highlight w:val="none"/>
          <w:lang w:val="en-US" w:eastAsia="zh-CN"/>
        </w:rPr>
      </w:pPr>
      <w:r>
        <w:rPr>
          <w:rFonts w:hint="eastAsia" w:ascii="宋体" w:hAnsi="宋体" w:cs="宋体"/>
          <w:sz w:val="24"/>
          <w:highlight w:val="none"/>
          <w:lang w:val="en-US" w:eastAsia="zh-CN"/>
        </w:rPr>
        <w:t>本文主要针对立讯精密工业股份有限公司营运资金管理的内部环境进行分析，通过大量的调查和资料的归集，得出立讯精密在营运资金管理方面的留存问题，并提出相关建议。</w:t>
      </w:r>
    </w:p>
    <w:bookmarkEnd w:id="39"/>
    <w:bookmarkEnd w:id="40"/>
    <w:bookmarkEnd w:id="41"/>
    <w:bookmarkEnd w:id="42"/>
    <w:bookmarkEnd w:id="43"/>
    <w:bookmarkEnd w:id="44"/>
    <w:bookmarkEnd w:id="45"/>
    <w:p>
      <w:pPr>
        <w:pStyle w:val="2"/>
        <w:keepNext/>
        <w:keepLines/>
        <w:pageBreakBefore w:val="0"/>
        <w:widowControl/>
        <w:numPr>
          <w:ilvl w:val="0"/>
          <w:numId w:val="0"/>
        </w:numPr>
        <w:kinsoku/>
        <w:wordWrap/>
        <w:overflowPunct/>
        <w:topLinePunct w:val="0"/>
        <w:autoSpaceDE/>
        <w:autoSpaceDN/>
        <w:bidi w:val="0"/>
        <w:adjustRightInd/>
        <w:snapToGrid/>
        <w:spacing w:line="720" w:lineRule="auto"/>
        <w:jc w:val="center"/>
        <w:textAlignment w:val="auto"/>
        <w:outlineLvl w:val="0"/>
        <w:rPr>
          <w:rFonts w:hint="eastAsia" w:ascii="黑体" w:hAnsi="黑体" w:cs="黑体"/>
          <w:b w:val="0"/>
          <w:bCs w:val="0"/>
          <w:i w:val="0"/>
          <w:iCs w:val="0"/>
          <w:sz w:val="32"/>
          <w:szCs w:val="32"/>
          <w:lang w:val="en-US" w:eastAsia="zh-CN"/>
        </w:rPr>
      </w:pPr>
      <w:commentRangeStart w:id="26"/>
      <w:r>
        <w:rPr>
          <w:rFonts w:hint="eastAsia" w:ascii="黑体" w:hAnsi="黑体" w:cs="黑体"/>
          <w:b w:val="0"/>
          <w:bCs w:val="0"/>
          <w:i w:val="0"/>
          <w:iCs w:val="0"/>
          <w:sz w:val="32"/>
          <w:szCs w:val="32"/>
          <w:lang w:val="en-US" w:eastAsia="zh-CN"/>
        </w:rPr>
        <w:t>二、</w:t>
      </w:r>
      <w:bookmarkStart w:id="46" w:name="_Toc13124"/>
      <w:r>
        <w:rPr>
          <w:rFonts w:hint="eastAsia" w:ascii="黑体" w:hAnsi="黑体" w:cs="黑体"/>
          <w:b w:val="0"/>
          <w:bCs w:val="0"/>
          <w:i w:val="0"/>
          <w:iCs w:val="0"/>
          <w:sz w:val="32"/>
          <w:szCs w:val="32"/>
          <w:lang w:val="en-US" w:eastAsia="zh-CN"/>
        </w:rPr>
        <w:t>营运资金管理相关理论概述</w:t>
      </w:r>
      <w:commentRangeEnd w:id="26"/>
      <w:bookmarkEnd w:id="46"/>
      <w:r>
        <w:commentReference w:id="26"/>
      </w:r>
    </w:p>
    <w:p>
      <w:pPr>
        <w:pStyle w:val="4"/>
        <w:keepNext/>
        <w:keepLines/>
        <w:pageBreakBefore w:val="0"/>
        <w:widowControl/>
        <w:numPr>
          <w:ilvl w:val="0"/>
          <w:numId w:val="0"/>
        </w:numPr>
        <w:kinsoku/>
        <w:wordWrap/>
        <w:overflowPunct/>
        <w:topLinePunct w:val="0"/>
        <w:autoSpaceDE/>
        <w:autoSpaceDN/>
        <w:bidi w:val="0"/>
        <w:adjustRightInd/>
        <w:snapToGrid/>
        <w:ind w:firstLine="592" w:firstLineChars="200"/>
        <w:textAlignment w:val="auto"/>
        <w:rPr>
          <w:rFonts w:hint="eastAsia" w:ascii="黑体" w:hAnsi="黑体" w:eastAsia="黑体" w:cs="黑体"/>
          <w:lang w:val="en-US" w:eastAsia="zh-CN"/>
        </w:rPr>
      </w:pPr>
      <w:r>
        <w:rPr>
          <w:rFonts w:hint="eastAsia" w:ascii="黑体" w:hAnsi="黑体" w:cs="黑体"/>
          <w:lang w:val="en-US" w:eastAsia="zh-CN"/>
        </w:rPr>
        <w:t>（一）</w:t>
      </w:r>
      <w:bookmarkStart w:id="47" w:name="_Toc30520"/>
      <w:r>
        <w:rPr>
          <w:rFonts w:hint="eastAsia" w:ascii="黑体" w:hAnsi="黑体" w:eastAsia="黑体" w:cs="黑体"/>
          <w:lang w:val="en-US" w:eastAsia="zh-CN"/>
        </w:rPr>
        <w:t>营运资金的概念</w:t>
      </w:r>
      <w:bookmarkEnd w:id="47"/>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default" w:ascii="宋体" w:hAnsi="宋体" w:cs="宋体"/>
          <w:sz w:val="24"/>
          <w:highlight w:val="none"/>
          <w:lang w:val="en-US" w:eastAsia="zh-CN"/>
        </w:rPr>
      </w:pPr>
      <w:r>
        <w:rPr>
          <w:rFonts w:hint="eastAsia" w:ascii="宋体" w:hAnsi="宋体" w:cs="宋体"/>
          <w:sz w:val="24"/>
          <w:highlight w:val="none"/>
          <w:lang w:val="en-US" w:eastAsia="zh-CN"/>
        </w:rPr>
        <w:t>营运资金，是指企业日常生产经营活动中用以保障业务正常开展的资金总额，其包括流动资产、流动负债，反映出企业在经营期间的经营成果。目前，营运资金包含以下两种形式：</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default" w:ascii="Times New Roman" w:hAnsi="Times New Roman" w:cs="Times New Roman"/>
          <w:sz w:val="24"/>
          <w:highlight w:val="none"/>
          <w:lang w:val="en-US" w:eastAsia="zh-CN"/>
        </w:rPr>
        <w:t>（1）</w:t>
      </w:r>
      <w:r>
        <w:rPr>
          <w:rFonts w:hint="eastAsia" w:ascii="宋体" w:hAnsi="宋体" w:cs="宋体"/>
          <w:sz w:val="24"/>
          <w:highlight w:val="none"/>
          <w:lang w:val="en-US" w:eastAsia="zh-CN"/>
        </w:rPr>
        <w:t>广义的营运资金是指总营运资金，是企业在某一时期流动资产的总额，由强到弱，流通于企业内部，周转期较短，变现速度快，存在于企业生产经营的各个环节。</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default" w:ascii="Times New Roman" w:hAnsi="Times New Roman" w:cs="Times New Roman"/>
          <w:sz w:val="24"/>
          <w:highlight w:val="none"/>
          <w:lang w:val="en-US" w:eastAsia="zh-CN"/>
        </w:rPr>
        <w:t>（2）</w:t>
      </w:r>
      <w:r>
        <w:rPr>
          <w:rFonts w:hint="eastAsia" w:ascii="宋体" w:hAnsi="宋体" w:cs="宋体"/>
          <w:sz w:val="24"/>
          <w:highlight w:val="none"/>
          <w:lang w:val="en-US" w:eastAsia="zh-CN"/>
        </w:rPr>
        <w:t>狭义的营运资金被称为净营运资金，由流动资产减去流动负债构成，可以用来衡量短期债务偿还能力，当余额为正数，说明企业能够及时偿还债务，当余额为负数时，说明企业资金流不能及时清偿，存在一定风险性。当余额较大时，则表示企业流动资产闲置或流动负债利用不足。</w:t>
      </w:r>
    </w:p>
    <w:p>
      <w:pPr>
        <w:pStyle w:val="4"/>
        <w:keepNext/>
        <w:keepLines/>
        <w:pageBreakBefore w:val="0"/>
        <w:widowControl/>
        <w:numPr>
          <w:ilvl w:val="0"/>
          <w:numId w:val="0"/>
        </w:numPr>
        <w:kinsoku/>
        <w:wordWrap/>
        <w:overflowPunct/>
        <w:topLinePunct w:val="0"/>
        <w:autoSpaceDE/>
        <w:autoSpaceDN/>
        <w:bidi w:val="0"/>
        <w:adjustRightInd/>
        <w:snapToGrid/>
        <w:ind w:firstLine="592" w:firstLineChars="200"/>
        <w:textAlignment w:val="auto"/>
        <w:rPr>
          <w:rFonts w:hint="eastAsia" w:ascii="黑体" w:hAnsi="黑体" w:cs="黑体"/>
          <w:b w:val="0"/>
          <w:bCs w:val="0"/>
          <w:lang w:val="en-US" w:eastAsia="zh-CN"/>
        </w:rPr>
      </w:pPr>
      <w:bookmarkStart w:id="48" w:name="_Toc28217"/>
      <w:r>
        <w:rPr>
          <w:rFonts w:hint="eastAsia" w:ascii="黑体" w:hAnsi="黑体" w:cs="黑体"/>
          <w:lang w:val="en-US" w:eastAsia="zh-CN"/>
        </w:rPr>
        <w:t>（二）</w:t>
      </w:r>
      <w:r>
        <w:rPr>
          <w:rFonts w:hint="eastAsia" w:ascii="黑体" w:hAnsi="黑体" w:eastAsia="黑体" w:cs="黑体"/>
          <w:lang w:val="en-US" w:eastAsia="zh-CN"/>
        </w:rPr>
        <w:t>营运资金</w:t>
      </w:r>
      <w:r>
        <w:rPr>
          <w:rFonts w:hint="eastAsia" w:ascii="黑体" w:hAnsi="黑体" w:cs="黑体"/>
          <w:lang w:val="en-US" w:eastAsia="zh-CN"/>
        </w:rPr>
        <w:t>管理</w:t>
      </w:r>
      <w:r>
        <w:rPr>
          <w:rFonts w:hint="eastAsia" w:ascii="黑体" w:hAnsi="黑体" w:eastAsia="黑体" w:cs="黑体"/>
          <w:lang w:val="en-US" w:eastAsia="zh-CN"/>
        </w:rPr>
        <w:t>的概念</w:t>
      </w:r>
      <w:bookmarkEnd w:id="48"/>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default" w:ascii="宋体" w:hAnsi="宋体" w:cs="宋体"/>
          <w:sz w:val="24"/>
          <w:highlight w:val="none"/>
          <w:lang w:val="en-US" w:eastAsia="zh-CN"/>
        </w:rPr>
      </w:pPr>
      <w:r>
        <w:rPr>
          <w:rFonts w:hint="eastAsia" w:ascii="宋体" w:hAnsi="宋体" w:cs="宋体"/>
          <w:sz w:val="24"/>
          <w:highlight w:val="none"/>
          <w:lang w:val="en-US" w:eastAsia="zh-CN"/>
        </w:rPr>
        <w:t>企业通过调整涉及的资金项目，对营运资金规模进行把控的行为称为营运资金管理。主要由流动资产管理、流动负债管理两部分组成，通过对企业业务量的估算，合理分配，决策项目投资金额以及怎样筹集所需资金。当下的营运资金管理一般从基于要素和基于渠道进行探讨，前者是通过确定单一项目适配量，力求整体项目的最优占有量，分析的单个要素主要有现金、应收账款、存货、应付账款等，但该方式仅注重单个项目，未能兼顾到项目之间联系，导致企业经济利益发展存在很大限制。然而，由王竹泉等学者基于后者视角进行的探究能够较好的克服问题，将企业进行分阶段管理，根据采购、生产、销售环节逐步管理并进行整合，使各渠道相互关联，互相制约，资金与业务相结合，有助于企业合理利用资源分配，对综合业务流程整体把控</w:t>
      </w:r>
      <w:r>
        <w:rPr>
          <w:rFonts w:hint="eastAsia" w:ascii="Times New Roman" w:hAnsi="Times New Roman" w:cs="Times New Roman"/>
          <w:sz w:val="24"/>
          <w:szCs w:val="24"/>
          <w:vertAlign w:val="superscript"/>
          <w:lang w:val="en-US" w:eastAsia="zh-CN"/>
        </w:rPr>
        <w:t>[12]</w:t>
      </w:r>
      <w:r>
        <w:rPr>
          <w:rFonts w:hint="eastAsia" w:ascii="宋体" w:hAnsi="宋体" w:cs="宋体"/>
          <w:sz w:val="24"/>
          <w:highlight w:val="none"/>
          <w:lang w:val="en-US" w:eastAsia="zh-CN"/>
        </w:rPr>
        <w:t>。</w:t>
      </w:r>
    </w:p>
    <w:p>
      <w:pPr>
        <w:pStyle w:val="4"/>
        <w:keepNext/>
        <w:keepLines/>
        <w:pageBreakBefore w:val="0"/>
        <w:widowControl/>
        <w:numPr>
          <w:ilvl w:val="0"/>
          <w:numId w:val="0"/>
        </w:numPr>
        <w:kinsoku/>
        <w:wordWrap/>
        <w:overflowPunct/>
        <w:topLinePunct w:val="0"/>
        <w:autoSpaceDE/>
        <w:autoSpaceDN/>
        <w:bidi w:val="0"/>
        <w:adjustRightInd/>
        <w:snapToGrid/>
        <w:ind w:firstLine="592" w:firstLineChars="200"/>
        <w:textAlignment w:val="auto"/>
        <w:rPr>
          <w:rFonts w:hint="eastAsia" w:ascii="黑体" w:hAnsi="黑体" w:cs="黑体"/>
          <w:lang w:val="en-US" w:eastAsia="zh-CN"/>
        </w:rPr>
      </w:pPr>
      <w:bookmarkStart w:id="49" w:name="_Toc479690666"/>
      <w:bookmarkStart w:id="50" w:name="_Toc478656044"/>
      <w:bookmarkStart w:id="51" w:name="_Toc479691031"/>
      <w:r>
        <w:rPr>
          <w:rFonts w:hint="eastAsia" w:ascii="黑体" w:hAnsi="黑体" w:cs="黑体"/>
          <w:lang w:val="en-US" w:eastAsia="zh-CN"/>
        </w:rPr>
        <w:t>（三）</w:t>
      </w:r>
      <w:bookmarkStart w:id="52" w:name="_Toc15477"/>
      <w:r>
        <w:rPr>
          <w:rFonts w:hint="eastAsia" w:ascii="黑体" w:hAnsi="黑体" w:cs="黑体"/>
          <w:lang w:val="en-US" w:eastAsia="zh-CN"/>
        </w:rPr>
        <w:t>要素营运资金管理理论</w:t>
      </w:r>
      <w:bookmarkEnd w:id="52"/>
    </w:p>
    <w:bookmarkEnd w:id="49"/>
    <w:bookmarkEnd w:id="50"/>
    <w:bookmarkEnd w:id="51"/>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按照营运资金的构成要素可将其分为流动资产、流动负债。流动资产由存货、应收账款、预付账款等资金项目构成，流动负债由应付账款、预收账款等构成</w:t>
      </w:r>
      <w:r>
        <w:rPr>
          <w:rFonts w:hint="eastAsia" w:ascii="Times New Roman" w:hAnsi="Times New Roman" w:cs="Times New Roman"/>
          <w:sz w:val="24"/>
          <w:szCs w:val="24"/>
          <w:vertAlign w:val="superscript"/>
          <w:lang w:val="en-US" w:eastAsia="zh-CN"/>
        </w:rPr>
        <w:t>[13]</w:t>
      </w:r>
      <w:r>
        <w:rPr>
          <w:rFonts w:hint="eastAsia" w:ascii="宋体" w:hAnsi="宋体" w:cs="宋体"/>
          <w:sz w:val="24"/>
          <w:highlight w:val="none"/>
          <w:lang w:val="en-US" w:eastAsia="zh-CN"/>
        </w:rPr>
        <w:t>。基于要素的营运资金管理绩效常常根据要素周转情况被用于企业营运资金管理评价。评价指标主要是关注单一项目资金中的现金、存货、应收账款、应付账款的持有数量、周转率和周转期，通过优化单个项目的财务指标，让其在资金管理中占据合理份额，以此提升企业经济效益。在同行业中，也可将单个指标进行对比分析，找出企业存在的问题。</w:t>
      </w:r>
    </w:p>
    <w:p>
      <w:pPr>
        <w:pStyle w:val="4"/>
        <w:keepNext/>
        <w:keepLines/>
        <w:pageBreakBefore w:val="0"/>
        <w:widowControl/>
        <w:numPr>
          <w:ilvl w:val="0"/>
          <w:numId w:val="0"/>
        </w:numPr>
        <w:kinsoku/>
        <w:wordWrap/>
        <w:overflowPunct/>
        <w:topLinePunct w:val="0"/>
        <w:autoSpaceDE/>
        <w:autoSpaceDN/>
        <w:bidi w:val="0"/>
        <w:adjustRightInd/>
        <w:snapToGrid/>
        <w:ind w:firstLine="592" w:firstLineChars="200"/>
        <w:textAlignment w:val="auto"/>
        <w:rPr>
          <w:rFonts w:hint="eastAsia" w:ascii="黑体" w:hAnsi="黑体" w:cs="黑体"/>
          <w:lang w:val="en-US" w:eastAsia="zh-CN"/>
        </w:rPr>
      </w:pPr>
      <w:bookmarkStart w:id="53" w:name="_Toc12093"/>
      <w:r>
        <w:rPr>
          <w:rFonts w:hint="eastAsia" w:ascii="黑体" w:hAnsi="黑体" w:cs="黑体"/>
          <w:lang w:val="en-US" w:eastAsia="zh-CN"/>
        </w:rPr>
        <w:t>（四）渠道营运资金管理理论</w:t>
      </w:r>
      <w:bookmarkEnd w:id="53"/>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yellow"/>
          <w:lang w:val="en-US" w:eastAsia="zh-CN"/>
        </w:rPr>
      </w:pPr>
      <w:r>
        <w:rPr>
          <w:rFonts w:hint="eastAsia" w:ascii="宋体" w:hAnsi="宋体" w:cs="宋体"/>
          <w:sz w:val="24"/>
          <w:highlight w:val="none"/>
          <w:lang w:val="en-US" w:eastAsia="zh-CN"/>
        </w:rPr>
        <w:t>渠道管理是指商家为与消费者建立联系构建的一种业务体系，其方式可有效简化制造商与消费者的交易流程，使生产商给予的产品或服务能够被顺利使用，降低销售成本</w:t>
      </w:r>
      <w:r>
        <w:rPr>
          <w:rFonts w:hint="eastAsia" w:ascii="Times New Roman" w:hAnsi="Times New Roman" w:cs="Times New Roman"/>
          <w:sz w:val="24"/>
          <w:szCs w:val="24"/>
          <w:vertAlign w:val="superscript"/>
          <w:lang w:val="en-US" w:eastAsia="zh-CN"/>
        </w:rPr>
        <w:t>[14]</w:t>
      </w:r>
      <w:r>
        <w:rPr>
          <w:rFonts w:hint="eastAsia" w:ascii="宋体" w:hAnsi="宋体" w:cs="宋体"/>
          <w:sz w:val="24"/>
          <w:highlight w:val="none"/>
          <w:lang w:val="en-US" w:eastAsia="zh-CN"/>
        </w:rPr>
        <w:t>。渠道管理主要包括三部分内容：采购渠道、生产渠道和营销渠道。其中采购渠道是指企业为根据自身生产经营情况，利用相应的成本购进企业原材料的流程。该过程需要企业严格预估材料使用数量，规避材料过剩对资金的占用以及原料不足而干扰生产。生产连接采购与营销，是渠道管理的重要环节</w:t>
      </w:r>
      <w:r>
        <w:rPr>
          <w:rFonts w:hint="eastAsia" w:ascii="Times New Roman" w:hAnsi="Times New Roman" w:cs="Times New Roman"/>
          <w:sz w:val="24"/>
          <w:szCs w:val="24"/>
          <w:vertAlign w:val="superscript"/>
          <w:lang w:val="en-US" w:eastAsia="zh-CN"/>
        </w:rPr>
        <w:t>[15]</w:t>
      </w:r>
      <w:r>
        <w:rPr>
          <w:rFonts w:hint="eastAsia" w:ascii="宋体" w:hAnsi="宋体" w:cs="宋体"/>
          <w:sz w:val="24"/>
          <w:highlight w:val="none"/>
          <w:lang w:val="en-US" w:eastAsia="zh-CN"/>
        </w:rPr>
        <w:t>。企业需合理控制该环节资金占用，保障资金链在该环节的顺利流通。营销渠道是企业依据产品属性，为获取利润采取的一系列销售方式，其为利润构成的关键。企业只有通过迎合消费者喜好，形成持续良好营销，才能确保资金的正常流转。对于电子制造企业来说，各渠道环节相互关联，均对资金链循环起着重要作用。</w:t>
      </w:r>
    </w:p>
    <w:p>
      <w:pPr>
        <w:pStyle w:val="2"/>
        <w:keepNext/>
        <w:keepLines/>
        <w:pageBreakBefore w:val="0"/>
        <w:widowControl/>
        <w:numPr>
          <w:ilvl w:val="0"/>
          <w:numId w:val="0"/>
        </w:numPr>
        <w:kinsoku/>
        <w:wordWrap/>
        <w:overflowPunct/>
        <w:topLinePunct w:val="0"/>
        <w:autoSpaceDE/>
        <w:autoSpaceDN/>
        <w:bidi w:val="0"/>
        <w:adjustRightInd/>
        <w:snapToGrid/>
        <w:spacing w:line="720" w:lineRule="auto"/>
        <w:jc w:val="center"/>
        <w:textAlignment w:val="auto"/>
        <w:outlineLvl w:val="0"/>
        <w:rPr>
          <w:rFonts w:hint="eastAsia" w:ascii="黑体" w:hAnsi="黑体" w:eastAsia="黑体" w:cs="黑体"/>
          <w:lang w:val="en-US" w:eastAsia="zh-CN"/>
        </w:rPr>
      </w:pPr>
      <w:bookmarkStart w:id="54" w:name="_Toc478656066"/>
      <w:r>
        <w:rPr>
          <w:rFonts w:hint="eastAsia" w:ascii="黑体" w:hAnsi="黑体" w:cs="黑体"/>
          <w:b w:val="0"/>
          <w:bCs w:val="0"/>
          <w:i w:val="0"/>
          <w:iCs w:val="0"/>
          <w:sz w:val="32"/>
          <w:szCs w:val="32"/>
          <w:lang w:val="en-US" w:eastAsia="zh-CN"/>
        </w:rPr>
        <w:t>三、</w:t>
      </w:r>
      <w:bookmarkStart w:id="55" w:name="_Toc31965"/>
      <w:r>
        <w:rPr>
          <w:rFonts w:hint="eastAsia" w:ascii="黑体" w:hAnsi="黑体" w:cs="黑体"/>
          <w:b w:val="0"/>
          <w:bCs w:val="0"/>
          <w:i w:val="0"/>
          <w:iCs w:val="0"/>
          <w:sz w:val="32"/>
          <w:szCs w:val="32"/>
          <w:lang w:val="en-US" w:eastAsia="zh-CN"/>
        </w:rPr>
        <w:t>立讯精密公司概况及营运资金管理现状</w:t>
      </w:r>
      <w:bookmarkEnd w:id="55"/>
    </w:p>
    <w:bookmarkEnd w:id="54"/>
    <w:p>
      <w:pPr>
        <w:pStyle w:val="4"/>
        <w:keepNext/>
        <w:keepLines/>
        <w:pageBreakBefore w:val="0"/>
        <w:widowControl/>
        <w:numPr>
          <w:ilvl w:val="0"/>
          <w:numId w:val="0"/>
        </w:numPr>
        <w:kinsoku/>
        <w:wordWrap/>
        <w:overflowPunct/>
        <w:topLinePunct w:val="0"/>
        <w:autoSpaceDE/>
        <w:autoSpaceDN/>
        <w:bidi w:val="0"/>
        <w:adjustRightInd/>
        <w:snapToGrid/>
        <w:spacing w:before="0" w:after="0" w:line="360" w:lineRule="auto"/>
        <w:ind w:firstLine="592" w:firstLineChars="200"/>
        <w:jc w:val="both"/>
        <w:textAlignment w:val="auto"/>
        <w:rPr>
          <w:rFonts w:hint="default" w:ascii="黑体" w:hAnsi="黑体" w:cs="黑体"/>
          <w:b w:val="0"/>
          <w:bCs w:val="0"/>
          <w:sz w:val="30"/>
          <w:szCs w:val="30"/>
          <w:lang w:val="en-US" w:eastAsia="zh-CN"/>
        </w:rPr>
      </w:pPr>
      <w:bookmarkStart w:id="56" w:name="_Toc9921"/>
      <w:r>
        <w:rPr>
          <w:rFonts w:hint="eastAsia" w:ascii="黑体" w:hAnsi="黑体" w:cs="黑体"/>
          <w:b w:val="0"/>
          <w:bCs w:val="0"/>
          <w:sz w:val="30"/>
          <w:szCs w:val="30"/>
          <w:lang w:val="en-US" w:eastAsia="zh-CN"/>
        </w:rPr>
        <w:t>（一）立讯精密发展状况</w:t>
      </w:r>
      <w:bookmarkEnd w:id="56"/>
    </w:p>
    <w:p>
      <w:pPr>
        <w:pStyle w:val="5"/>
        <w:spacing w:before="0" w:after="0" w:line="360" w:lineRule="auto"/>
        <w:ind w:firstLine="552" w:firstLineChars="200"/>
        <w:rPr>
          <w:rFonts w:hint="default" w:eastAsia="黑体"/>
          <w:lang w:val="en-US" w:eastAsia="zh-CN"/>
        </w:rPr>
      </w:pPr>
      <w:bookmarkStart w:id="57" w:name="_Toc8891"/>
      <w:r>
        <w:rPr>
          <w:rFonts w:hint="eastAsia" w:ascii="黑体" w:hAnsi="黑体" w:cs="黑体"/>
          <w:b w:val="0"/>
          <w:bCs w:val="0"/>
          <w:sz w:val="28"/>
          <w:szCs w:val="28"/>
          <w:lang w:val="en-US" w:eastAsia="zh-CN"/>
        </w:rPr>
        <w:t>1.企业概况分析</w:t>
      </w:r>
      <w:bookmarkEnd w:id="57"/>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立讯精密创立于</w:t>
      </w:r>
      <w:r>
        <w:rPr>
          <w:rFonts w:hint="default" w:ascii="Times New Roman" w:hAnsi="Times New Roman" w:cs="Times New Roman"/>
          <w:sz w:val="24"/>
          <w:highlight w:val="none"/>
          <w:lang w:val="en-US" w:eastAsia="zh-CN"/>
        </w:rPr>
        <w:t>2004</w:t>
      </w:r>
      <w:r>
        <w:rPr>
          <w:rFonts w:hint="eastAsia" w:ascii="宋体" w:hAnsi="宋体" w:cs="宋体"/>
          <w:sz w:val="24"/>
          <w:highlight w:val="none"/>
          <w:lang w:val="en-US" w:eastAsia="zh-CN"/>
        </w:rPr>
        <w:t>年，于</w:t>
      </w:r>
      <w:r>
        <w:rPr>
          <w:rFonts w:hint="eastAsia" w:ascii="Times New Roman" w:hAnsi="Times New Roman" w:cs="Times New Roman"/>
          <w:sz w:val="24"/>
          <w:highlight w:val="none"/>
          <w:lang w:val="en-US" w:eastAsia="zh-CN"/>
        </w:rPr>
        <w:t>2010</w:t>
      </w:r>
      <w:r>
        <w:rPr>
          <w:rFonts w:hint="eastAsia" w:ascii="宋体" w:hAnsi="宋体" w:cs="宋体"/>
          <w:sz w:val="24"/>
          <w:highlight w:val="none"/>
          <w:lang w:val="en-US" w:eastAsia="zh-CN"/>
        </w:rPr>
        <w:t>年</w:t>
      </w:r>
      <w:r>
        <w:rPr>
          <w:rFonts w:hint="eastAsia" w:ascii="Times New Roman" w:hAnsi="Times New Roman" w:cs="Times New Roman"/>
          <w:sz w:val="24"/>
          <w:highlight w:val="none"/>
          <w:lang w:val="en-US" w:eastAsia="zh-CN"/>
        </w:rPr>
        <w:t>9</w:t>
      </w:r>
      <w:r>
        <w:rPr>
          <w:rFonts w:hint="eastAsia" w:ascii="宋体" w:hAnsi="宋体" w:cs="宋体"/>
          <w:sz w:val="24"/>
          <w:highlight w:val="none"/>
          <w:lang w:val="en-US" w:eastAsia="zh-CN"/>
        </w:rPr>
        <w:t>月</w:t>
      </w:r>
      <w:r>
        <w:rPr>
          <w:rFonts w:hint="eastAsia" w:ascii="Times New Roman" w:hAnsi="Times New Roman" w:cs="Times New Roman"/>
          <w:sz w:val="24"/>
          <w:highlight w:val="none"/>
          <w:lang w:val="en-US" w:eastAsia="zh-CN"/>
        </w:rPr>
        <w:t>15</w:t>
      </w:r>
      <w:r>
        <w:rPr>
          <w:rFonts w:hint="eastAsia" w:ascii="宋体" w:hAnsi="宋体" w:cs="宋体"/>
          <w:sz w:val="24"/>
          <w:highlight w:val="none"/>
          <w:lang w:val="en-US" w:eastAsia="zh-CN"/>
        </w:rPr>
        <w:t>日在深圳证券交易所挂牌上市。总部位于东莞，子公司超过</w:t>
      </w:r>
      <w:r>
        <w:rPr>
          <w:rFonts w:hint="eastAsia" w:ascii="Times New Roman" w:hAnsi="Times New Roman" w:cs="Times New Roman"/>
          <w:sz w:val="24"/>
          <w:highlight w:val="none"/>
          <w:lang w:val="en-US" w:eastAsia="zh-CN"/>
        </w:rPr>
        <w:t>50</w:t>
      </w:r>
      <w:r>
        <w:rPr>
          <w:rFonts w:hint="eastAsia" w:ascii="宋体" w:hAnsi="宋体" w:cs="宋体"/>
          <w:sz w:val="24"/>
          <w:highlight w:val="none"/>
          <w:lang w:val="en-US" w:eastAsia="zh-CN"/>
        </w:rPr>
        <w:t>家，分布于中国大陆、中国台湾、日本、美国等地。全球员工总数超过</w:t>
      </w:r>
      <w:r>
        <w:rPr>
          <w:rFonts w:hint="eastAsia" w:ascii="Times New Roman" w:hAnsi="Times New Roman" w:cs="Times New Roman"/>
          <w:sz w:val="24"/>
          <w:highlight w:val="none"/>
          <w:lang w:val="en-US" w:eastAsia="zh-CN"/>
        </w:rPr>
        <w:t>8</w:t>
      </w:r>
      <w:r>
        <w:rPr>
          <w:rFonts w:hint="eastAsia" w:ascii="宋体" w:hAnsi="宋体" w:cs="宋体"/>
          <w:sz w:val="24"/>
          <w:highlight w:val="none"/>
          <w:lang w:val="en-US" w:eastAsia="zh-CN"/>
        </w:rPr>
        <w:t>万人。公司研发生产的产品被广泛应用于电子、通讯等多个重要领域。立讯精密曾参与</w:t>
      </w:r>
      <w:r>
        <w:rPr>
          <w:rFonts w:hint="eastAsia" w:ascii="Times New Roman" w:hAnsi="Times New Roman" w:cs="Times New Roman"/>
          <w:sz w:val="24"/>
          <w:highlight w:val="none"/>
          <w:lang w:val="en-US" w:eastAsia="zh-CN"/>
        </w:rPr>
        <w:t>Type-C</w:t>
      </w:r>
      <w:r>
        <w:rPr>
          <w:rFonts w:hint="eastAsia" w:ascii="宋体" w:hAnsi="宋体" w:cs="宋体"/>
          <w:sz w:val="24"/>
          <w:highlight w:val="none"/>
          <w:lang w:val="en-US" w:eastAsia="zh-CN"/>
        </w:rPr>
        <w:t>标准的制定，并率先获得</w:t>
      </w:r>
      <w:r>
        <w:rPr>
          <w:rFonts w:hint="eastAsia" w:ascii="Times New Roman" w:hAnsi="Times New Roman" w:cs="Times New Roman"/>
          <w:sz w:val="24"/>
          <w:highlight w:val="none"/>
          <w:lang w:val="en-US" w:eastAsia="zh-CN"/>
        </w:rPr>
        <w:t>USB4 Type-C Cable</w:t>
      </w:r>
      <w:r>
        <w:rPr>
          <w:rFonts w:hint="eastAsia" w:ascii="宋体" w:hAnsi="宋体" w:cs="宋体"/>
          <w:sz w:val="24"/>
          <w:highlight w:val="none"/>
          <w:lang w:val="en-US" w:eastAsia="zh-CN"/>
        </w:rPr>
        <w:t>认证。自上市以来，立讯精密营业收入年复合增长率近</w:t>
      </w:r>
      <w:r>
        <w:rPr>
          <w:rFonts w:hint="eastAsia" w:ascii="Times New Roman" w:hAnsi="Times New Roman" w:cs="Times New Roman"/>
          <w:sz w:val="24"/>
          <w:highlight w:val="none"/>
          <w:lang w:val="en-US" w:eastAsia="zh-CN"/>
        </w:rPr>
        <w:t>50%</w:t>
      </w:r>
      <w:r>
        <w:rPr>
          <w:rFonts w:hint="eastAsia" w:ascii="宋体" w:hAnsi="宋体" w:cs="宋体"/>
          <w:sz w:val="24"/>
          <w:highlight w:val="none"/>
          <w:lang w:val="en-US" w:eastAsia="zh-CN"/>
        </w:rPr>
        <w:t>，截止到</w:t>
      </w:r>
      <w:r>
        <w:rPr>
          <w:rFonts w:hint="eastAsia" w:ascii="Times New Roman" w:hAnsi="Times New Roman" w:cs="Times New Roman"/>
          <w:sz w:val="24"/>
          <w:highlight w:val="none"/>
          <w:lang w:val="en-US" w:eastAsia="zh-CN"/>
        </w:rPr>
        <w:t>2020</w:t>
      </w:r>
      <w:r>
        <w:rPr>
          <w:rFonts w:hint="eastAsia" w:ascii="宋体" w:hAnsi="宋体" w:cs="宋体"/>
          <w:sz w:val="24"/>
          <w:highlight w:val="none"/>
          <w:lang w:val="en-US" w:eastAsia="zh-CN"/>
        </w:rPr>
        <w:t>年</w:t>
      </w:r>
      <w:r>
        <w:rPr>
          <w:rFonts w:hint="eastAsia" w:ascii="Times New Roman" w:hAnsi="Times New Roman" w:cs="Times New Roman"/>
          <w:sz w:val="24"/>
          <w:highlight w:val="none"/>
          <w:lang w:val="en-US" w:eastAsia="zh-CN"/>
        </w:rPr>
        <w:t>1</w:t>
      </w:r>
      <w:r>
        <w:rPr>
          <w:rFonts w:hint="eastAsia" w:ascii="宋体" w:hAnsi="宋体" w:cs="宋体"/>
          <w:sz w:val="24"/>
          <w:highlight w:val="none"/>
          <w:lang w:val="en-US" w:eastAsia="zh-CN"/>
        </w:rPr>
        <w:t>月，公司市场价值突破</w:t>
      </w:r>
      <w:r>
        <w:rPr>
          <w:rFonts w:hint="eastAsia" w:ascii="Times New Roman" w:hAnsi="Times New Roman" w:cs="Times New Roman"/>
          <w:sz w:val="24"/>
          <w:highlight w:val="none"/>
          <w:lang w:val="en-US" w:eastAsia="zh-CN"/>
        </w:rPr>
        <w:t>2000</w:t>
      </w:r>
      <w:r>
        <w:rPr>
          <w:rFonts w:hint="eastAsia" w:ascii="宋体" w:hAnsi="宋体" w:cs="宋体"/>
          <w:sz w:val="24"/>
          <w:highlight w:val="none"/>
          <w:lang w:val="en-US" w:eastAsia="zh-CN"/>
        </w:rPr>
        <w:t>亿元。拥有自主产权、发明专利多达</w:t>
      </w:r>
      <w:r>
        <w:rPr>
          <w:rFonts w:hint="default" w:ascii="Times New Roman" w:hAnsi="Times New Roman" w:cs="Times New Roman"/>
          <w:sz w:val="24"/>
          <w:highlight w:val="none"/>
          <w:lang w:val="en-US" w:eastAsia="zh-CN"/>
        </w:rPr>
        <w:t>2300</w:t>
      </w:r>
      <w:r>
        <w:rPr>
          <w:rFonts w:hint="eastAsia" w:ascii="宋体" w:hAnsi="宋体" w:cs="宋体"/>
          <w:sz w:val="24"/>
          <w:highlight w:val="none"/>
          <w:lang w:val="en-US" w:eastAsia="zh-CN"/>
        </w:rPr>
        <w:t>多项。公司实验室于</w:t>
      </w:r>
      <w:r>
        <w:rPr>
          <w:rFonts w:hint="eastAsia" w:ascii="Times New Roman" w:hAnsi="Times New Roman" w:cs="Times New Roman"/>
          <w:sz w:val="24"/>
          <w:highlight w:val="none"/>
          <w:lang w:val="en-US" w:eastAsia="zh-CN"/>
        </w:rPr>
        <w:t>2007</w:t>
      </w:r>
      <w:r>
        <w:rPr>
          <w:rFonts w:hint="eastAsia" w:ascii="宋体" w:hAnsi="宋体" w:cs="宋体"/>
          <w:sz w:val="24"/>
          <w:highlight w:val="none"/>
          <w:lang w:val="en-US" w:eastAsia="zh-CN"/>
        </w:rPr>
        <w:t>年获得“深圳市测试平台”的称号，通过国家认可委认可。此外，根据</w:t>
      </w:r>
      <w:r>
        <w:rPr>
          <w:rFonts w:hint="eastAsia" w:ascii="Times New Roman" w:hAnsi="Times New Roman" w:cs="Times New Roman"/>
          <w:sz w:val="24"/>
          <w:highlight w:val="none"/>
          <w:lang w:val="en-US" w:eastAsia="zh-CN"/>
        </w:rPr>
        <w:t>2020</w:t>
      </w:r>
      <w:r>
        <w:rPr>
          <w:rFonts w:hint="eastAsia" w:ascii="宋体" w:hAnsi="宋体" w:cs="宋体"/>
          <w:sz w:val="24"/>
          <w:highlight w:val="none"/>
          <w:lang w:val="en-US" w:eastAsia="zh-CN"/>
        </w:rPr>
        <w:t>年</w:t>
      </w:r>
      <w:r>
        <w:rPr>
          <w:rFonts w:hint="eastAsia" w:ascii="Times New Roman" w:hAnsi="Times New Roman" w:cs="Times New Roman"/>
          <w:sz w:val="24"/>
          <w:highlight w:val="none"/>
          <w:lang w:val="en-US" w:eastAsia="zh-CN"/>
        </w:rPr>
        <w:t>8</w:t>
      </w:r>
      <w:r>
        <w:rPr>
          <w:rFonts w:hint="eastAsia" w:ascii="宋体" w:hAnsi="宋体" w:cs="宋体"/>
          <w:sz w:val="24"/>
          <w:highlight w:val="none"/>
          <w:lang w:val="en-US" w:eastAsia="zh-CN"/>
        </w:rPr>
        <w:t>月发布的全球连接器厂商研究报告显示，公司在</w:t>
      </w:r>
      <w:r>
        <w:rPr>
          <w:rFonts w:hint="eastAsia" w:ascii="Times New Roman" w:hAnsi="Times New Roman" w:cs="Times New Roman"/>
          <w:sz w:val="24"/>
          <w:highlight w:val="none"/>
          <w:lang w:val="en-US" w:eastAsia="zh-CN"/>
        </w:rPr>
        <w:t>2019</w:t>
      </w:r>
      <w:r>
        <w:rPr>
          <w:rFonts w:hint="eastAsia" w:ascii="宋体" w:hAnsi="宋体" w:cs="宋体"/>
          <w:sz w:val="24"/>
          <w:highlight w:val="none"/>
          <w:lang w:val="en-US" w:eastAsia="zh-CN"/>
        </w:rPr>
        <w:t>年销售金额</w:t>
      </w:r>
      <w:r>
        <w:rPr>
          <w:rFonts w:hint="eastAsia" w:ascii="Times New Roman" w:hAnsi="Times New Roman" w:cs="Times New Roman"/>
          <w:sz w:val="24"/>
          <w:highlight w:val="none"/>
          <w:lang w:val="en-US" w:eastAsia="zh-CN"/>
        </w:rPr>
        <w:t>TOP10</w:t>
      </w:r>
      <w:r>
        <w:rPr>
          <w:rFonts w:hint="eastAsia" w:ascii="宋体" w:hAnsi="宋体" w:cs="宋体"/>
          <w:sz w:val="24"/>
          <w:highlight w:val="none"/>
          <w:lang w:val="en-US" w:eastAsia="zh-CN"/>
        </w:rPr>
        <w:t>的排名中，位列第</w:t>
      </w:r>
      <w:r>
        <w:rPr>
          <w:rFonts w:hint="eastAsia" w:ascii="Times New Roman" w:hAnsi="Times New Roman" w:cs="Times New Roman"/>
          <w:sz w:val="24"/>
          <w:highlight w:val="none"/>
          <w:lang w:val="en-US" w:eastAsia="zh-CN"/>
        </w:rPr>
        <w:t>6</w:t>
      </w:r>
      <w:r>
        <w:rPr>
          <w:rFonts w:hint="eastAsia" w:ascii="宋体" w:hAnsi="宋体" w:cs="宋体"/>
          <w:sz w:val="24"/>
          <w:highlight w:val="none"/>
          <w:lang w:val="en-US" w:eastAsia="zh-CN"/>
        </w:rPr>
        <w:t>，是中国内地唯一进入前十的企业。公司始终专注主业，深耕细作，通过不断追求智能化研发设计、数字化运营管理、精细化成本控制占领市场先机，核心竞争力、发展潜力不容忽视。</w:t>
      </w:r>
    </w:p>
    <w:p>
      <w:pPr>
        <w:pStyle w:val="5"/>
        <w:spacing w:before="0" w:after="0" w:line="360" w:lineRule="auto"/>
        <w:ind w:firstLine="552" w:firstLineChars="200"/>
        <w:rPr>
          <w:rFonts w:hint="eastAsia" w:ascii="黑体" w:hAnsi="黑体" w:eastAsia="黑体"/>
          <w:b w:val="0"/>
          <w:bCs w:val="0"/>
          <w:sz w:val="28"/>
          <w:szCs w:val="28"/>
          <w:lang w:eastAsia="zh-CN"/>
        </w:rPr>
      </w:pPr>
      <w:bookmarkStart w:id="58" w:name="_Toc27663"/>
      <w:bookmarkStart w:id="59" w:name="_Toc479691039"/>
      <w:bookmarkStart w:id="60" w:name="_Toc479690674"/>
      <w:r>
        <w:rPr>
          <w:rFonts w:hint="eastAsia" w:ascii="黑体" w:hAnsi="黑体" w:cs="黑体"/>
          <w:b w:val="0"/>
          <w:bCs w:val="0"/>
          <w:sz w:val="28"/>
          <w:szCs w:val="28"/>
          <w:lang w:val="en-US" w:eastAsia="zh-CN"/>
        </w:rPr>
        <w:t>2.行业状况分析</w:t>
      </w:r>
      <w:bookmarkEnd w:id="58"/>
    </w:p>
    <w:p>
      <w:pPr>
        <w:keepNext w:val="0"/>
        <w:keepLines/>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yellow"/>
          <w:lang w:val="en-US" w:eastAsia="zh-CN"/>
        </w:rPr>
      </w:pPr>
      <w:r>
        <w:rPr>
          <w:rFonts w:hint="eastAsia" w:ascii="宋体" w:hAnsi="宋体" w:cs="宋体"/>
          <w:sz w:val="24"/>
          <w:highlight w:val="none"/>
          <w:lang w:val="en-US" w:eastAsia="zh-CN"/>
        </w:rPr>
        <w:t>近年来，受益于数据通信、消费电子、汽车、医疗、电脑及周边下游行业的快速发展，连接器作为众多设备中必不可少的基础组成元件，为保证设备正常运营、快速稳定的输出，也在全球性的扩大生产规模。然而，由于</w:t>
      </w:r>
      <w:r>
        <w:rPr>
          <w:rFonts w:hint="eastAsia" w:ascii="Times New Roman" w:hAnsi="Times New Roman" w:cs="Times New Roman"/>
          <w:sz w:val="24"/>
          <w:highlight w:val="none"/>
          <w:lang w:val="en-US" w:eastAsia="zh-CN"/>
        </w:rPr>
        <w:t>2008</w:t>
      </w:r>
      <w:r>
        <w:rPr>
          <w:rFonts w:hint="eastAsia" w:ascii="宋体" w:hAnsi="宋体" w:cs="宋体"/>
          <w:sz w:val="24"/>
          <w:highlight w:val="none"/>
          <w:lang w:val="en-US" w:eastAsia="zh-CN"/>
        </w:rPr>
        <w:t>年金融危机的震慑，北美、欧洲和日本连接器市场受到重创，发展停滞不前。而中国以及亚太地区经历经济风波，极速调整后，在市场上呈现出有力增长，推动全球连接器市场高速发展。随着中国连接器制造业水平的快速提升，全球连接器生产重心也出现了转移，</w:t>
      </w:r>
      <w:r>
        <w:rPr>
          <w:rFonts w:hint="eastAsia" w:ascii="Times New Roman" w:hAnsi="Times New Roman" w:cs="Times New Roman"/>
          <w:sz w:val="24"/>
          <w:highlight w:val="none"/>
          <w:lang w:val="en-US" w:eastAsia="zh-CN"/>
        </w:rPr>
        <w:t>2003</w:t>
      </w:r>
      <w:r>
        <w:rPr>
          <w:rFonts w:hint="eastAsia" w:ascii="宋体" w:hAnsi="宋体" w:cs="宋体"/>
          <w:sz w:val="24"/>
          <w:highlight w:val="none"/>
          <w:lang w:val="en-US" w:eastAsia="zh-CN"/>
        </w:rPr>
        <w:t>到</w:t>
      </w:r>
      <w:r>
        <w:rPr>
          <w:rFonts w:hint="eastAsia" w:ascii="Times New Roman" w:hAnsi="Times New Roman" w:cs="Times New Roman"/>
          <w:sz w:val="24"/>
          <w:highlight w:val="none"/>
          <w:lang w:val="en-US" w:eastAsia="zh-CN"/>
        </w:rPr>
        <w:t>2015</w:t>
      </w:r>
      <w:r>
        <w:rPr>
          <w:rFonts w:hint="eastAsia" w:ascii="宋体" w:hAnsi="宋体" w:cs="宋体"/>
          <w:sz w:val="24"/>
          <w:highlight w:val="none"/>
          <w:lang w:val="en-US" w:eastAsia="zh-CN"/>
        </w:rPr>
        <w:t>年间，中国成为全球第一连接器消费市场地区，市场增长率达到高于全球平均水平，市场份额由</w:t>
      </w:r>
      <w:r>
        <w:rPr>
          <w:rFonts w:hint="eastAsia" w:ascii="Times New Roman" w:hAnsi="Times New Roman" w:cs="Times New Roman"/>
          <w:sz w:val="24"/>
          <w:highlight w:val="none"/>
          <w:lang w:val="en-US" w:eastAsia="zh-CN"/>
        </w:rPr>
        <w:t>12.5%</w:t>
      </w:r>
      <w:r>
        <w:rPr>
          <w:rFonts w:hint="eastAsia" w:ascii="宋体" w:hAnsi="宋体" w:cs="宋体"/>
          <w:sz w:val="24"/>
          <w:highlight w:val="none"/>
          <w:lang w:val="en-US" w:eastAsia="zh-CN"/>
        </w:rPr>
        <w:t>上升到</w:t>
      </w:r>
      <w:r>
        <w:rPr>
          <w:rFonts w:hint="eastAsia" w:ascii="Times New Roman" w:hAnsi="Times New Roman" w:cs="Times New Roman"/>
          <w:sz w:val="24"/>
          <w:highlight w:val="none"/>
          <w:lang w:val="en-US" w:eastAsia="zh-CN"/>
        </w:rPr>
        <w:t>28.28%</w:t>
      </w:r>
      <w:r>
        <w:rPr>
          <w:rFonts w:hint="eastAsia" w:ascii="宋体" w:hAnsi="宋体" w:cs="宋体"/>
          <w:sz w:val="24"/>
          <w:highlight w:val="none"/>
          <w:lang w:val="en-US" w:eastAsia="zh-CN"/>
        </w:rPr>
        <w:t>。</w:t>
      </w:r>
    </w:p>
    <w:p>
      <w:pPr>
        <w:pStyle w:val="5"/>
        <w:keepNext w:val="0"/>
        <w:keepLines w:val="0"/>
        <w:pageBreakBefore w:val="0"/>
        <w:widowControl w:val="0"/>
        <w:kinsoku/>
        <w:wordWrap/>
        <w:overflowPunct/>
        <w:topLinePunct w:val="0"/>
        <w:autoSpaceDE/>
        <w:autoSpaceDN/>
        <w:bidi w:val="0"/>
        <w:adjustRightInd/>
        <w:snapToGrid/>
        <w:spacing w:before="0" w:after="0" w:line="360" w:lineRule="auto"/>
        <w:ind w:firstLine="552" w:firstLineChars="200"/>
        <w:textAlignment w:val="auto"/>
        <w:rPr>
          <w:rFonts w:hint="eastAsia" w:ascii="黑体" w:hAnsi="黑体" w:eastAsia="黑体"/>
          <w:b w:val="0"/>
          <w:bCs w:val="0"/>
          <w:sz w:val="28"/>
          <w:szCs w:val="28"/>
          <w:lang w:eastAsia="zh-CN"/>
        </w:rPr>
      </w:pPr>
      <w:bookmarkStart w:id="61" w:name="_Toc6589"/>
      <w:r>
        <w:rPr>
          <w:rFonts w:hint="eastAsia" w:ascii="黑体" w:hAnsi="黑体" w:cs="黑体"/>
          <w:b w:val="0"/>
          <w:bCs w:val="0"/>
          <w:sz w:val="28"/>
          <w:szCs w:val="28"/>
          <w:lang w:val="en-US" w:eastAsia="zh-CN"/>
        </w:rPr>
        <w:t>3.立讯精密营运资金规模分析</w:t>
      </w:r>
      <w:bookmarkEnd w:id="61"/>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yellow"/>
          <w:lang w:val="en-US" w:eastAsia="zh-CN"/>
        </w:rPr>
      </w:pPr>
      <w:r>
        <w:rPr>
          <w:rFonts w:hint="eastAsia" w:ascii="宋体" w:hAnsi="宋体" w:cs="宋体"/>
          <w:sz w:val="24"/>
          <w:highlight w:val="none"/>
          <w:lang w:val="en-US" w:eastAsia="zh-CN"/>
        </w:rPr>
        <w:t>营运资金的规模能够体现其状态，通过对照流动资产与流动负债之间的关系，进而得出企业风险倾向。通常情况下，当流动资产的规模较大于流动负债的规模时，说明该企业账务偿还上压力较小，但相应较少的资金运转也会限制企业利润增长，对后期发展造成重大影响。反之，也会面临较大的财务风险。因此，营运资金的规模分析对于了解企业在市场行情不断变化的环境中至关重要，需对其进行探讨。立讯精密</w:t>
      </w:r>
      <w:r>
        <w:rPr>
          <w:rFonts w:hint="default" w:ascii="Times New Roman" w:hAnsi="Times New Roman" w:cs="Times New Roman"/>
          <w:sz w:val="24"/>
          <w:highlight w:val="none"/>
          <w:lang w:val="en-US" w:eastAsia="zh-CN"/>
        </w:rPr>
        <w:t>2015</w:t>
      </w:r>
      <w:r>
        <w:rPr>
          <w:rFonts w:hint="eastAsia" w:ascii="宋体" w:hAnsi="宋体" w:eastAsia="宋体" w:cs="宋体"/>
          <w:sz w:val="24"/>
          <w:highlight w:val="none"/>
          <w:lang w:val="en-US" w:eastAsia="zh-CN"/>
        </w:rPr>
        <w:t>——</w:t>
      </w:r>
      <w:r>
        <w:rPr>
          <w:rFonts w:hint="default" w:ascii="Times New Roman" w:hAnsi="Times New Roman" w:cs="Times New Roman"/>
          <w:sz w:val="24"/>
          <w:highlight w:val="none"/>
          <w:lang w:val="en-US" w:eastAsia="zh-CN"/>
        </w:rPr>
        <w:t>2019</w:t>
      </w:r>
      <w:r>
        <w:rPr>
          <w:rFonts w:hint="eastAsia" w:ascii="宋体" w:hAnsi="宋体" w:cs="宋体"/>
          <w:sz w:val="24"/>
          <w:highlight w:val="none"/>
          <w:lang w:val="en-US" w:eastAsia="zh-CN"/>
        </w:rPr>
        <w:t>年营运资金情况，如表</w:t>
      </w:r>
      <w:r>
        <w:rPr>
          <w:rFonts w:hint="eastAsia" w:ascii="Times New Roman" w:hAnsi="Times New Roman" w:cs="Times New Roman"/>
          <w:sz w:val="24"/>
          <w:highlight w:val="none"/>
          <w:lang w:val="en-US" w:eastAsia="zh-CN"/>
        </w:rPr>
        <w:t>3-1</w:t>
      </w:r>
      <w:r>
        <w:rPr>
          <w:rFonts w:hint="eastAsia" w:ascii="宋体" w:hAnsi="宋体" w:cs="宋体"/>
          <w:sz w:val="24"/>
          <w:highlight w:val="none"/>
          <w:lang w:val="en-US" w:eastAsia="zh-CN"/>
        </w:rPr>
        <w:t>所示：</w:t>
      </w:r>
    </w:p>
    <w:p>
      <w:pPr>
        <w:keepNext w:val="0"/>
        <w:keepLines w:val="0"/>
        <w:pageBreakBefore w:val="0"/>
        <w:widowControl/>
        <w:kinsoku/>
        <w:wordWrap/>
        <w:overflowPunct/>
        <w:topLinePunct w:val="0"/>
        <w:autoSpaceDE/>
        <w:autoSpaceDN/>
        <w:bidi w:val="0"/>
        <w:adjustRightInd/>
        <w:snapToGrid/>
        <w:spacing w:line="360" w:lineRule="auto"/>
        <w:ind w:firstLine="412" w:firstLineChars="200"/>
        <w:jc w:val="right"/>
        <w:textAlignment w:val="auto"/>
        <w:rPr>
          <w:rFonts w:hint="eastAsia" w:ascii="宋体" w:hAnsi="宋体" w:cs="宋体"/>
          <w:sz w:val="24"/>
          <w:highlight w:val="yellow"/>
          <w:lang w:val="en-US" w:eastAsia="zh-CN"/>
        </w:rPr>
      </w:pPr>
      <w:commentRangeStart w:id="27"/>
      <w:r>
        <w:rPr>
          <w:rFonts w:hint="eastAsia" w:ascii="黑体" w:hAnsi="黑体" w:eastAsia="黑体" w:cs="黑体"/>
          <w:sz w:val="21"/>
          <w:szCs w:val="21"/>
          <w:highlight w:val="none"/>
        </w:rPr>
        <w:t>表 3-</w:t>
      </w:r>
      <w:r>
        <w:rPr>
          <w:rFonts w:hint="eastAsia" w:ascii="黑体" w:hAnsi="黑体" w:eastAsia="黑体" w:cs="黑体"/>
          <w:sz w:val="21"/>
          <w:szCs w:val="21"/>
          <w:highlight w:val="none"/>
          <w:lang w:val="en-US" w:eastAsia="zh-CN"/>
        </w:rPr>
        <w:t>1</w:t>
      </w:r>
      <w:commentRangeEnd w:id="27"/>
      <w:r>
        <w:commentReference w:id="27"/>
      </w:r>
      <w:r>
        <w:rPr>
          <w:rFonts w:hint="eastAsia" w:ascii="黑体" w:hAnsi="黑体" w:eastAsia="黑体" w:cs="黑体"/>
          <w:sz w:val="21"/>
          <w:szCs w:val="21"/>
          <w:highlight w:val="none"/>
          <w:lang w:val="en-US" w:eastAsia="zh-CN"/>
        </w:rPr>
        <w:t xml:space="preserve">  立讯精密2015至2019营运资金</w:t>
      </w:r>
      <w:r>
        <w:commentReference w:id="28"/>
      </w:r>
      <w:r>
        <w:rPr>
          <w:rFonts w:hint="eastAsia" w:ascii="黑体" w:hAnsi="黑体" w:eastAsia="黑体" w:cs="黑体"/>
          <w:sz w:val="21"/>
          <w:szCs w:val="21"/>
        </w:rPr>
        <w:t xml:space="preserve">  </w:t>
      </w:r>
      <w:r>
        <w:commentReference w:id="29"/>
      </w:r>
      <w:r>
        <w:rPr>
          <w:rFonts w:hint="eastAsia" w:ascii="黑体" w:hAnsi="黑体" w:eastAsia="黑体" w:cs="黑体"/>
          <w:sz w:val="21"/>
          <w:szCs w:val="21"/>
        </w:rPr>
        <w:t xml:space="preserve">   </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 xml:space="preserve">         </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单位：</w:t>
      </w:r>
      <w:r>
        <w:rPr>
          <w:rFonts w:hint="eastAsia" w:ascii="黑体" w:hAnsi="黑体" w:eastAsia="黑体" w:cs="黑体"/>
          <w:sz w:val="21"/>
          <w:szCs w:val="21"/>
          <w:lang w:val="en-US" w:eastAsia="zh-CN"/>
        </w:rPr>
        <w:t>万</w:t>
      </w:r>
      <w:r>
        <w:rPr>
          <w:rFonts w:hint="eastAsia" w:ascii="黑体" w:hAnsi="黑体" w:eastAsia="黑体" w:cs="黑体"/>
          <w:sz w:val="21"/>
          <w:szCs w:val="21"/>
        </w:rPr>
        <w:t>元</w:t>
      </w:r>
    </w:p>
    <w:tbl>
      <w:tblPr>
        <w:tblStyle w:val="26"/>
        <w:tblW w:w="89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43"/>
        <w:gridCol w:w="1515"/>
        <w:gridCol w:w="1585"/>
        <w:gridCol w:w="1493"/>
        <w:gridCol w:w="1537"/>
        <w:gridCol w:w="15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1343" w:type="dxa"/>
            <w:tcBorders>
              <w:top w:val="single" w:color="auto" w:sz="12" w:space="0"/>
              <w:bottom w:val="single" w:color="auto" w:sz="4" w:space="0"/>
            </w:tcBorders>
            <w:vAlign w:val="center"/>
          </w:tcPr>
          <w:p>
            <w:pPr>
              <w:spacing w:line="360" w:lineRule="auto"/>
              <w:ind w:left="0" w:leftChars="0" w:firstLine="0" w:firstLineChars="0"/>
              <w:jc w:val="center"/>
              <w:rPr>
                <w:rFonts w:hint="default" w:ascii="宋体" w:hAnsi="宋体" w:eastAsia="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项目/年份</w:t>
            </w:r>
            <w:r>
              <w:commentReference w:id="30"/>
            </w:r>
          </w:p>
        </w:tc>
        <w:tc>
          <w:tcPr>
            <w:tcW w:w="1515" w:type="dxa"/>
            <w:tcBorders>
              <w:top w:val="single" w:color="auto" w:sz="12" w:space="0"/>
              <w:bottom w:val="single" w:color="auto" w:sz="4" w:space="0"/>
            </w:tcBorders>
            <w:vAlign w:val="center"/>
          </w:tcPr>
          <w:p>
            <w:pPr>
              <w:spacing w:line="360" w:lineRule="auto"/>
              <w:ind w:left="0" w:leftChars="0" w:firstLine="0" w:firstLineChars="0"/>
              <w:jc w:val="center"/>
              <w:rPr>
                <w:rFonts w:hint="default" w:ascii="宋体" w:hAnsi="宋体" w:eastAsia="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2015</w:t>
            </w:r>
          </w:p>
        </w:tc>
        <w:tc>
          <w:tcPr>
            <w:tcW w:w="1585" w:type="dxa"/>
            <w:tcBorders>
              <w:top w:val="single" w:color="auto" w:sz="12" w:space="0"/>
              <w:bottom w:val="single" w:color="auto" w:sz="4" w:space="0"/>
            </w:tcBorders>
            <w:vAlign w:val="center"/>
          </w:tcPr>
          <w:p>
            <w:pPr>
              <w:spacing w:line="360" w:lineRule="auto"/>
              <w:ind w:left="0" w:leftChars="0" w:firstLine="0" w:firstLineChars="0"/>
              <w:jc w:val="center"/>
              <w:rPr>
                <w:rFonts w:hint="default" w:ascii="宋体" w:hAnsi="宋体" w:eastAsia="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2016</w:t>
            </w:r>
          </w:p>
        </w:tc>
        <w:tc>
          <w:tcPr>
            <w:tcW w:w="1493" w:type="dxa"/>
            <w:tcBorders>
              <w:top w:val="single" w:color="auto" w:sz="12" w:space="0"/>
              <w:bottom w:val="single" w:color="auto" w:sz="4" w:space="0"/>
            </w:tcBorders>
            <w:vAlign w:val="center"/>
          </w:tcPr>
          <w:p>
            <w:pPr>
              <w:spacing w:line="360" w:lineRule="auto"/>
              <w:ind w:left="0" w:leftChars="0" w:firstLine="0" w:firstLineChars="0"/>
              <w:jc w:val="center"/>
              <w:rPr>
                <w:rFonts w:hint="default" w:ascii="宋体" w:hAnsi="宋体" w:eastAsia="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2017</w:t>
            </w:r>
          </w:p>
        </w:tc>
        <w:tc>
          <w:tcPr>
            <w:tcW w:w="1537" w:type="dxa"/>
            <w:tcBorders>
              <w:top w:val="single" w:color="auto" w:sz="12" w:space="0"/>
              <w:bottom w:val="single" w:color="auto" w:sz="4" w:space="0"/>
            </w:tcBorders>
            <w:vAlign w:val="center"/>
          </w:tcPr>
          <w:p>
            <w:pPr>
              <w:spacing w:line="360" w:lineRule="auto"/>
              <w:ind w:left="0" w:leftChars="0" w:firstLine="0" w:firstLineChars="0"/>
              <w:jc w:val="center"/>
              <w:rPr>
                <w:rFonts w:hint="default" w:ascii="宋体" w:hAnsi="宋体" w:eastAsia="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2018</w:t>
            </w:r>
          </w:p>
        </w:tc>
        <w:tc>
          <w:tcPr>
            <w:tcW w:w="1504" w:type="dxa"/>
            <w:tcBorders>
              <w:top w:val="single" w:color="auto" w:sz="12" w:space="0"/>
              <w:bottom w:val="single" w:color="auto" w:sz="4" w:space="0"/>
            </w:tcBorders>
            <w:vAlign w:val="center"/>
          </w:tcPr>
          <w:p>
            <w:pPr>
              <w:spacing w:line="360" w:lineRule="auto"/>
              <w:ind w:left="0" w:leftChars="0" w:firstLine="0" w:firstLineChars="0"/>
              <w:jc w:val="center"/>
              <w:rPr>
                <w:rFonts w:hint="default" w:ascii="宋体" w:hAnsi="宋体" w:eastAsia="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1343"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cs="宋体"/>
                <w:sz w:val="21"/>
                <w:szCs w:val="21"/>
                <w:highlight w:val="none"/>
                <w:vertAlign w:val="baseline"/>
                <w:lang w:val="en-US" w:eastAsia="zh-CN"/>
              </w:rPr>
              <w:t>流动资产</w:t>
            </w:r>
          </w:p>
        </w:tc>
        <w:tc>
          <w:tcPr>
            <w:tcW w:w="1515"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rPr>
            </w:pPr>
            <w:commentRangeStart w:id="31"/>
            <w:r>
              <w:rPr>
                <w:rFonts w:hint="eastAsia" w:ascii="Times New Roman" w:hAnsi="Times New Roman" w:eastAsia="宋体" w:cs="Times New Roman"/>
                <w:sz w:val="21"/>
                <w:szCs w:val="21"/>
                <w:lang w:val="en-US" w:eastAsia="zh-CN"/>
              </w:rPr>
              <w:t>704323.68</w:t>
            </w:r>
            <w:commentRangeEnd w:id="31"/>
            <w:r>
              <w:commentReference w:id="31"/>
            </w:r>
          </w:p>
        </w:tc>
        <w:tc>
          <w:tcPr>
            <w:tcW w:w="1585"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1454527.07</w:t>
            </w:r>
          </w:p>
        </w:tc>
        <w:tc>
          <w:tcPr>
            <w:tcW w:w="1493"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1737179.77</w:t>
            </w:r>
          </w:p>
        </w:tc>
        <w:tc>
          <w:tcPr>
            <w:tcW w:w="1537"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2307807.36</w:t>
            </w:r>
          </w:p>
        </w:tc>
        <w:tc>
          <w:tcPr>
            <w:tcW w:w="1504"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3075089.75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1343" w:type="dxa"/>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cs="宋体"/>
                <w:sz w:val="21"/>
                <w:szCs w:val="21"/>
                <w:highlight w:val="none"/>
                <w:vertAlign w:val="baseline"/>
                <w:lang w:val="en-US" w:eastAsia="zh-CN"/>
              </w:rPr>
              <w:t>流动负债</w:t>
            </w:r>
          </w:p>
        </w:tc>
        <w:tc>
          <w:tcPr>
            <w:tcW w:w="1515" w:type="dxa"/>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552439.72</w:t>
            </w:r>
          </w:p>
        </w:tc>
        <w:tc>
          <w:tcPr>
            <w:tcW w:w="1585" w:type="dxa"/>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860745.7</w:t>
            </w:r>
          </w:p>
        </w:tc>
        <w:tc>
          <w:tcPr>
            <w:tcW w:w="1493" w:type="dxa"/>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1171164.58</w:t>
            </w:r>
          </w:p>
        </w:tc>
        <w:tc>
          <w:tcPr>
            <w:tcW w:w="1537" w:type="dxa"/>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1717857.35</w:t>
            </w:r>
          </w:p>
        </w:tc>
        <w:tc>
          <w:tcPr>
            <w:tcW w:w="1504" w:type="dxa"/>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2485972.62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 w:hRule="atLeast"/>
          <w:jc w:val="center"/>
        </w:trPr>
        <w:tc>
          <w:tcPr>
            <w:tcW w:w="1343" w:type="dxa"/>
            <w:tcBorders>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cs="宋体"/>
                <w:sz w:val="21"/>
                <w:szCs w:val="21"/>
                <w:highlight w:val="none"/>
                <w:vertAlign w:val="baseline"/>
                <w:lang w:val="en-US" w:eastAsia="zh-CN"/>
              </w:rPr>
              <w:t>营运资金</w:t>
            </w:r>
          </w:p>
        </w:tc>
        <w:tc>
          <w:tcPr>
            <w:tcW w:w="1515" w:type="dxa"/>
            <w:tcBorders>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cs="Times New Roman"/>
                <w:sz w:val="21"/>
                <w:szCs w:val="21"/>
                <w:lang w:val="en-US" w:eastAsia="zh-CN"/>
              </w:rPr>
              <w:t>151883.96</w:t>
            </w:r>
          </w:p>
        </w:tc>
        <w:tc>
          <w:tcPr>
            <w:tcW w:w="1585" w:type="dxa"/>
            <w:tcBorders>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cs="Times New Roman"/>
                <w:sz w:val="21"/>
                <w:szCs w:val="21"/>
                <w:lang w:val="en-US" w:eastAsia="zh-CN"/>
              </w:rPr>
              <w:t>593781.37</w:t>
            </w:r>
          </w:p>
        </w:tc>
        <w:tc>
          <w:tcPr>
            <w:tcW w:w="1493" w:type="dxa"/>
            <w:tcBorders>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cs="Times New Roman"/>
                <w:sz w:val="21"/>
                <w:szCs w:val="21"/>
                <w:highlight w:val="none"/>
                <w:lang w:val="en-US" w:eastAsia="zh-CN"/>
              </w:rPr>
              <w:t>566015.19</w:t>
            </w:r>
          </w:p>
        </w:tc>
        <w:tc>
          <w:tcPr>
            <w:tcW w:w="1537" w:type="dxa"/>
            <w:tcBorders>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cs="Times New Roman"/>
                <w:sz w:val="21"/>
                <w:szCs w:val="21"/>
                <w:lang w:val="en-US" w:eastAsia="zh-CN"/>
              </w:rPr>
              <w:t>589950.01</w:t>
            </w:r>
          </w:p>
        </w:tc>
        <w:tc>
          <w:tcPr>
            <w:tcW w:w="1504" w:type="dxa"/>
            <w:tcBorders>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cs="Times New Roman"/>
                <w:sz w:val="21"/>
                <w:szCs w:val="21"/>
                <w:lang w:val="en-US" w:eastAsia="zh-CN"/>
              </w:rPr>
              <w:t>589117.13</w:t>
            </w:r>
          </w:p>
        </w:tc>
      </w:tr>
    </w:tbl>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352" w:firstLineChars="200"/>
        <w:jc w:val="both"/>
        <w:textAlignment w:val="auto"/>
      </w:pPr>
      <w:r>
        <w:rPr>
          <w:rFonts w:hint="eastAsia" w:ascii="宋体" w:hAnsi="宋体" w:eastAsia="宋体" w:cs="宋体"/>
          <w:sz w:val="18"/>
          <w:szCs w:val="18"/>
          <w:highlight w:val="none"/>
        </w:rPr>
        <w:t>资料来源：节选自</w:t>
      </w:r>
      <w:r>
        <w:rPr>
          <w:rFonts w:hint="eastAsia" w:ascii="宋体" w:hAnsi="宋体" w:cs="宋体"/>
          <w:sz w:val="18"/>
          <w:szCs w:val="18"/>
          <w:highlight w:val="none"/>
          <w:lang w:val="en-US" w:eastAsia="zh-CN"/>
        </w:rPr>
        <w:t>立讯精密2015—2019</w:t>
      </w:r>
      <w:commentRangeStart w:id="32"/>
      <w:r>
        <w:rPr>
          <w:rFonts w:hint="eastAsia" w:ascii="宋体" w:hAnsi="宋体" w:cs="宋体"/>
          <w:sz w:val="18"/>
          <w:szCs w:val="18"/>
          <w:highlight w:val="none"/>
          <w:lang w:val="en-US" w:eastAsia="zh-CN"/>
        </w:rPr>
        <w:t>财务报表</w:t>
      </w:r>
      <w:commentRangeEnd w:id="32"/>
      <w:r>
        <w:commentReference w:id="32"/>
      </w:r>
    </w:p>
    <w:p>
      <w:pPr>
        <w:keepNext w:val="0"/>
        <w:keepLines w:val="0"/>
        <w:pageBreakBefore w:val="0"/>
        <w:widowControl/>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default" w:ascii="宋体" w:hAnsi="宋体" w:cs="宋体"/>
          <w:sz w:val="24"/>
          <w:highlight w:val="yellow"/>
          <w:lang w:val="en-US" w:eastAsia="zh-CN"/>
        </w:rPr>
      </w:pPr>
      <w:r>
        <w:rPr>
          <w:rFonts w:hint="eastAsia" w:ascii="宋体" w:hAnsi="宋体" w:cs="宋体"/>
          <w:sz w:val="24"/>
          <w:highlight w:val="none"/>
          <w:lang w:val="en-US" w:eastAsia="zh-CN"/>
        </w:rPr>
        <w:t>从表</w:t>
      </w:r>
      <w:r>
        <w:rPr>
          <w:rFonts w:hint="default" w:ascii="Times New Roman" w:hAnsi="Times New Roman" w:cs="Times New Roman"/>
          <w:sz w:val="24"/>
          <w:highlight w:val="none"/>
          <w:lang w:val="en-US" w:eastAsia="zh-CN"/>
        </w:rPr>
        <w:t>3-1</w:t>
      </w:r>
      <w:r>
        <w:rPr>
          <w:rFonts w:hint="eastAsia" w:ascii="宋体" w:hAnsi="宋体" w:cs="宋体"/>
          <w:sz w:val="24"/>
          <w:highlight w:val="none"/>
          <w:lang w:val="en-US" w:eastAsia="zh-CN"/>
        </w:rPr>
        <w:t>可以看出，营运资金在</w:t>
      </w:r>
      <w:r>
        <w:rPr>
          <w:rFonts w:hint="eastAsia" w:ascii="Times New Roman" w:hAnsi="Times New Roman" w:cs="Times New Roman"/>
          <w:sz w:val="24"/>
          <w:highlight w:val="none"/>
          <w:lang w:val="en-US" w:eastAsia="zh-CN"/>
        </w:rPr>
        <w:t>2015——2016</w:t>
      </w:r>
      <w:r>
        <w:rPr>
          <w:rFonts w:hint="eastAsia" w:ascii="宋体" w:hAnsi="宋体" w:cs="宋体"/>
          <w:sz w:val="24"/>
          <w:highlight w:val="none"/>
          <w:lang w:val="en-US" w:eastAsia="zh-CN"/>
        </w:rPr>
        <w:t>年涨幅较大，其余年份较为稳定。一般来说，企业营运资金较低时，企业面临高风险高收益，这种被称为紧缩型货币资金政策。反之，营运资金数值较大时，为宽松型策略。然而，立讯精密在市场行的发展不断扩大，需要稳健的提升营运资金周转资金，才能保证企业的良好收益。近些年，企业规模不断扩大，而立讯精密的营运资金的增长情况较为平缓，与该企业资金债务增长不相符，现有的营运资金在应对短期需要支付的债务时，面临较大风险，较为限制企业经济发展。</w:t>
      </w:r>
    </w:p>
    <w:p>
      <w:pPr>
        <w:pStyle w:val="4"/>
        <w:keepNext/>
        <w:keepLines/>
        <w:pageBreakBefore w:val="0"/>
        <w:widowControl/>
        <w:numPr>
          <w:ilvl w:val="0"/>
          <w:numId w:val="0"/>
        </w:numPr>
        <w:kinsoku/>
        <w:wordWrap/>
        <w:overflowPunct/>
        <w:topLinePunct w:val="0"/>
        <w:autoSpaceDE/>
        <w:autoSpaceDN/>
        <w:bidi w:val="0"/>
        <w:adjustRightInd/>
        <w:snapToGrid/>
        <w:spacing w:before="0" w:after="0" w:line="360" w:lineRule="auto"/>
        <w:ind w:firstLine="592" w:firstLineChars="200"/>
        <w:jc w:val="both"/>
        <w:textAlignment w:val="auto"/>
        <w:rPr>
          <w:rFonts w:hint="default" w:ascii="黑体" w:hAnsi="黑体" w:cs="黑体"/>
          <w:b w:val="0"/>
          <w:bCs w:val="0"/>
          <w:sz w:val="30"/>
          <w:szCs w:val="30"/>
          <w:lang w:val="en-US" w:eastAsia="zh-CN"/>
        </w:rPr>
      </w:pPr>
      <w:bookmarkStart w:id="62" w:name="_Toc28512"/>
      <w:r>
        <w:rPr>
          <w:rFonts w:hint="eastAsia" w:ascii="黑体" w:hAnsi="黑体" w:cs="黑体"/>
          <w:b w:val="0"/>
          <w:bCs w:val="0"/>
          <w:sz w:val="30"/>
          <w:szCs w:val="30"/>
          <w:lang w:val="en-US" w:eastAsia="zh-CN"/>
        </w:rPr>
        <w:t>（二）基于要素的营运资金管理现状分析</w:t>
      </w:r>
      <w:bookmarkEnd w:id="62"/>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val="0"/>
        <w:spacing w:line="360" w:lineRule="auto"/>
        <w:ind w:firstLine="472" w:firstLineChars="200"/>
        <w:jc w:val="both"/>
        <w:textAlignment w:val="auto"/>
        <w:rPr>
          <w:rFonts w:hint="default" w:ascii="宋体" w:hAnsi="宋体" w:cs="宋体"/>
          <w:sz w:val="24"/>
          <w:highlight w:val="none"/>
          <w:lang w:val="en-US" w:eastAsia="zh-CN"/>
        </w:rPr>
      </w:pPr>
      <w:r>
        <w:rPr>
          <w:rFonts w:hint="eastAsia" w:ascii="宋体" w:hAnsi="宋体" w:cs="宋体"/>
          <w:sz w:val="24"/>
          <w:highlight w:val="none"/>
          <w:lang w:val="en-US" w:eastAsia="zh-CN"/>
        </w:rPr>
        <w:t>基于要素的营运资金管理分析方法，主要是选择分析应收账款、存货、应付账款这些单个项目的周转情况。同时，为了进一步反应立讯精密营运资金周转情况，本文将对比分析同行业其他企业营运能力，客观看待立讯精密经营状况。以下将从存货、应收账款、应付账款周转期对立讯精密营运资金管理状况进行分析。</w:t>
      </w:r>
    </w:p>
    <w:p>
      <w:pPr>
        <w:pStyle w:val="5"/>
        <w:keepNext w:val="0"/>
        <w:keepLines w:val="0"/>
        <w:pageBreakBefore w:val="0"/>
        <w:widowControl w:val="0"/>
        <w:kinsoku/>
        <w:wordWrap/>
        <w:overflowPunct/>
        <w:topLinePunct w:val="0"/>
        <w:autoSpaceDE/>
        <w:autoSpaceDN/>
        <w:bidi w:val="0"/>
        <w:adjustRightInd/>
        <w:snapToGrid/>
        <w:spacing w:before="0" w:after="0" w:line="360" w:lineRule="auto"/>
        <w:ind w:firstLine="552" w:firstLineChars="200"/>
        <w:textAlignment w:val="auto"/>
        <w:rPr>
          <w:rFonts w:hint="eastAsia" w:ascii="黑体" w:hAnsi="黑体" w:cs="黑体"/>
          <w:b w:val="0"/>
          <w:bCs w:val="0"/>
          <w:sz w:val="28"/>
          <w:szCs w:val="28"/>
          <w:lang w:val="en-US" w:eastAsia="zh-CN"/>
        </w:rPr>
      </w:pPr>
      <w:bookmarkStart w:id="63" w:name="_Toc8028"/>
      <w:r>
        <w:rPr>
          <w:rFonts w:hint="eastAsia" w:ascii="黑体" w:hAnsi="黑体" w:cs="黑体"/>
          <w:b w:val="0"/>
          <w:bCs w:val="0"/>
          <w:sz w:val="28"/>
          <w:szCs w:val="28"/>
          <w:lang w:val="en-US" w:eastAsia="zh-CN"/>
        </w:rPr>
        <w:t>1.存货周转</w:t>
      </w:r>
      <w:bookmarkEnd w:id="63"/>
      <w:r>
        <w:rPr>
          <w:rFonts w:hint="eastAsia" w:ascii="黑体" w:hAnsi="黑体" w:cs="黑体"/>
          <w:b w:val="0"/>
          <w:bCs w:val="0"/>
          <w:sz w:val="28"/>
          <w:szCs w:val="28"/>
          <w:lang w:val="en-US" w:eastAsia="zh-CN"/>
        </w:rPr>
        <w:t>速度分析</w:t>
      </w:r>
    </w:p>
    <w:p>
      <w:pPr>
        <w:keepNext w:val="0"/>
        <w:keepLines w:val="0"/>
        <w:pageBreakBefore w:val="0"/>
        <w:widowControl w:val="0"/>
        <w:kinsoku w:val="0"/>
        <w:wordWrap/>
        <w:overflowPunct w:val="0"/>
        <w:topLinePunct w:val="0"/>
        <w:autoSpaceDE/>
        <w:autoSpaceDN/>
        <w:bidi w:val="0"/>
        <w:adjustRightInd/>
        <w:snapToGrid/>
        <w:spacing w:line="360" w:lineRule="auto"/>
        <w:ind w:left="0" w:leftChars="0" w:firstLine="472" w:firstLineChars="200"/>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存货周转期是指企业在产品一个周期内生产、消耗、销售所需要的天数。它反映了存货的在库天数，一般来说，周转期较长的企业，意味着资金周转较慢，不利于企业的经营，而周转期较短，则说明存货流动性强，产品越畅销。立讯精密</w:t>
      </w:r>
      <w:r>
        <w:rPr>
          <w:rFonts w:hint="default" w:ascii="Times New Roman" w:hAnsi="Times New Roman" w:cs="Times New Roman"/>
          <w:sz w:val="24"/>
          <w:highlight w:val="none"/>
          <w:lang w:val="en-US" w:eastAsia="zh-CN"/>
        </w:rPr>
        <w:t>2015</w:t>
      </w:r>
      <w:r>
        <w:rPr>
          <w:rFonts w:hint="eastAsia" w:ascii="宋体" w:hAnsi="宋体" w:cs="宋体"/>
          <w:sz w:val="24"/>
          <w:highlight w:val="none"/>
          <w:lang w:val="en-US" w:eastAsia="zh-CN"/>
        </w:rPr>
        <w:t>——</w:t>
      </w:r>
      <w:r>
        <w:rPr>
          <w:rFonts w:hint="eastAsia" w:ascii="Times New Roman" w:hAnsi="Times New Roman" w:cs="Times New Roman"/>
          <w:sz w:val="24"/>
          <w:highlight w:val="none"/>
          <w:lang w:val="en-US" w:eastAsia="zh-CN"/>
        </w:rPr>
        <w:t>2019</w:t>
      </w:r>
      <w:r>
        <w:rPr>
          <w:rFonts w:hint="eastAsia" w:ascii="宋体" w:hAnsi="宋体" w:cs="宋体"/>
          <w:sz w:val="24"/>
          <w:highlight w:val="none"/>
          <w:lang w:val="en-US" w:eastAsia="zh-CN"/>
        </w:rPr>
        <w:t>年的财务报告中的数据进行运算，计算结果如表</w:t>
      </w:r>
      <w:r>
        <w:rPr>
          <w:rFonts w:hint="default" w:ascii="Times New Roman" w:hAnsi="Times New Roman" w:cs="Times New Roman"/>
          <w:sz w:val="24"/>
          <w:highlight w:val="none"/>
          <w:lang w:val="en-US" w:eastAsia="zh-CN"/>
        </w:rPr>
        <w:t>3-</w:t>
      </w:r>
      <w:r>
        <w:rPr>
          <w:rFonts w:hint="eastAsia" w:ascii="Times New Roman" w:hAnsi="Times New Roman" w:cs="Times New Roman"/>
          <w:sz w:val="24"/>
          <w:highlight w:val="none"/>
          <w:lang w:val="en-US" w:eastAsia="zh-CN"/>
        </w:rPr>
        <w:t>2</w:t>
      </w:r>
      <w:r>
        <w:rPr>
          <w:rFonts w:hint="eastAsia" w:ascii="宋体" w:hAnsi="宋体" w:cs="宋体"/>
          <w:sz w:val="24"/>
          <w:highlight w:val="none"/>
          <w:lang w:val="en-US" w:eastAsia="zh-CN"/>
        </w:rPr>
        <w:t>所示：</w:t>
      </w:r>
    </w:p>
    <w:p>
      <w:pPr>
        <w:keepNext w:val="0"/>
        <w:keepLines w:val="0"/>
        <w:pageBreakBefore w:val="0"/>
        <w:widowControl/>
        <w:kinsoku/>
        <w:wordWrap/>
        <w:overflowPunct/>
        <w:topLinePunct w:val="0"/>
        <w:autoSpaceDE/>
        <w:autoSpaceDN/>
        <w:bidi w:val="0"/>
        <w:adjustRightInd/>
        <w:snapToGrid/>
        <w:spacing w:line="360" w:lineRule="auto"/>
        <w:ind w:left="0" w:leftChars="0" w:firstLine="472" w:firstLineChars="200"/>
        <w:textAlignment w:val="auto"/>
        <w:rPr>
          <w:rFonts w:hint="default" w:ascii="宋体" w:hAnsi="宋体" w:cs="宋体"/>
          <w:sz w:val="24"/>
          <w:highlight w:val="none"/>
          <w:lang w:val="en-US" w:eastAsia="zh-CN"/>
        </w:rPr>
      </w:pPr>
      <w:r>
        <w:rPr>
          <w:rFonts w:hint="eastAsia" w:ascii="宋体" w:hAnsi="宋体" w:cs="宋体"/>
          <w:sz w:val="24"/>
          <w:highlight w:val="none"/>
          <w:lang w:val="en-US" w:eastAsia="zh-CN"/>
        </w:rPr>
        <w:t>存货周转期 =</w:t>
      </w:r>
      <w:r>
        <w:rPr>
          <w:rFonts w:hint="default" w:ascii="Times New Roman" w:hAnsi="Times New Roman" w:cs="Times New Roman"/>
          <w:sz w:val="24"/>
          <w:highlight w:val="none"/>
          <w:lang w:val="en-US" w:eastAsia="zh-CN"/>
        </w:rPr>
        <w:t xml:space="preserve"> 365</w:t>
      </w:r>
      <w:r>
        <w:rPr>
          <w:rFonts w:hint="eastAsia" w:ascii="宋体" w:hAnsi="宋体" w:cs="宋体"/>
          <w:sz w:val="24"/>
          <w:highlight w:val="none"/>
          <w:lang w:val="en-US" w:eastAsia="zh-CN"/>
        </w:rPr>
        <w:t>/(主营业务成本/存货平均金额）</w:t>
      </w:r>
    </w:p>
    <w:p>
      <w:pPr>
        <w:keepNext w:val="0"/>
        <w:keepLines w:val="0"/>
        <w:pageBreakBefore w:val="0"/>
        <w:widowControl/>
        <w:kinsoku/>
        <w:wordWrap/>
        <w:overflowPunct/>
        <w:topLinePunct w:val="0"/>
        <w:autoSpaceDE/>
        <w:autoSpaceDN/>
        <w:bidi w:val="0"/>
        <w:adjustRightInd/>
        <w:snapToGrid/>
        <w:spacing w:line="360" w:lineRule="auto"/>
        <w:ind w:firstLine="412" w:firstLineChars="200"/>
        <w:jc w:val="right"/>
        <w:textAlignment w:val="auto"/>
        <w:rPr>
          <w:rFonts w:hint="eastAsia" w:ascii="黑体" w:hAnsi="黑体" w:eastAsia="黑体" w:cs="黑体"/>
          <w:sz w:val="21"/>
          <w:szCs w:val="21"/>
        </w:rPr>
      </w:pPr>
      <w:r>
        <w:rPr>
          <w:rFonts w:hint="eastAsia" w:ascii="黑体" w:hAnsi="黑体" w:eastAsia="黑体" w:cs="黑体"/>
          <w:sz w:val="21"/>
          <w:szCs w:val="21"/>
          <w:highlight w:val="none"/>
        </w:rPr>
        <w:t>表 3-</w:t>
      </w:r>
      <w:r>
        <w:rPr>
          <w:rFonts w:hint="eastAsia" w:ascii="黑体" w:hAnsi="黑体" w:eastAsia="黑体" w:cs="黑体"/>
          <w:sz w:val="21"/>
          <w:szCs w:val="21"/>
          <w:highlight w:val="none"/>
          <w:lang w:val="en-US" w:eastAsia="zh-CN"/>
        </w:rPr>
        <w:t>2  立讯精密</w:t>
      </w:r>
      <w:r>
        <w:rPr>
          <w:rFonts w:hint="eastAsia" w:ascii="黑体" w:hAnsi="黑体" w:eastAsia="黑体" w:cs="黑体"/>
          <w:sz w:val="21"/>
          <w:szCs w:val="21"/>
          <w:highlight w:val="none"/>
        </w:rPr>
        <w:t>存货周转期</w:t>
      </w:r>
      <w:r>
        <w:rPr>
          <w:rFonts w:hint="eastAsia" w:ascii="黑体" w:hAnsi="黑体" w:eastAsia="黑体" w:cs="黑体"/>
          <w:sz w:val="21"/>
          <w:szCs w:val="21"/>
        </w:rPr>
        <w:t xml:space="preserve">  </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 xml:space="preserve">                  </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单位：</w:t>
      </w:r>
      <w:r>
        <w:rPr>
          <w:rFonts w:hint="eastAsia" w:ascii="黑体" w:hAnsi="黑体" w:eastAsia="黑体" w:cs="黑体"/>
          <w:sz w:val="21"/>
          <w:szCs w:val="21"/>
          <w:lang w:val="en-US" w:eastAsia="zh-CN"/>
        </w:rPr>
        <w:t>万</w:t>
      </w:r>
      <w:r>
        <w:rPr>
          <w:rFonts w:hint="eastAsia" w:ascii="黑体" w:hAnsi="黑体" w:eastAsia="黑体" w:cs="黑体"/>
          <w:sz w:val="21"/>
          <w:szCs w:val="21"/>
        </w:rPr>
        <w:t>元</w:t>
      </w:r>
    </w:p>
    <w:tbl>
      <w:tblPr>
        <w:tblStyle w:val="26"/>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1419"/>
        <w:gridCol w:w="1419"/>
        <w:gridCol w:w="1419"/>
        <w:gridCol w:w="1419"/>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80" w:type="dxa"/>
            <w:tcBorders>
              <w:top w:val="single" w:color="auto" w:sz="12" w:space="0"/>
              <w:left w:val="nil"/>
              <w:bottom w:val="single" w:color="auto" w:sz="4" w:space="0"/>
              <w:right w:val="nil"/>
            </w:tcBorders>
            <w:vAlign w:val="center"/>
          </w:tcPr>
          <w:p>
            <w:pPr>
              <w:spacing w:line="360" w:lineRule="auto"/>
              <w:ind w:left="0" w:leftChars="0" w:firstLine="0" w:firstLineChars="0"/>
              <w:jc w:val="center"/>
              <w:rPr>
                <w:rFonts w:hint="eastAsia" w:ascii="宋体" w:hAnsi="宋体" w:eastAsia="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项目</w:t>
            </w:r>
          </w:p>
        </w:tc>
        <w:tc>
          <w:tcPr>
            <w:tcW w:w="1419" w:type="dxa"/>
            <w:tcBorders>
              <w:top w:val="single" w:color="auto" w:sz="12" w:space="0"/>
              <w:left w:val="nil"/>
              <w:bottom w:val="single" w:color="auto" w:sz="4" w:space="0"/>
              <w:right w:val="nil"/>
            </w:tcBorders>
            <w:vAlign w:val="center"/>
          </w:tcPr>
          <w:p>
            <w:pPr>
              <w:spacing w:line="360" w:lineRule="auto"/>
              <w:ind w:left="0" w:leftChars="0" w:firstLine="0" w:firstLineChars="0"/>
              <w:jc w:val="center"/>
              <w:rPr>
                <w:rFonts w:hint="default" w:ascii="宋体" w:hAnsi="宋体" w:eastAsia="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2015</w:t>
            </w:r>
          </w:p>
        </w:tc>
        <w:tc>
          <w:tcPr>
            <w:tcW w:w="1419" w:type="dxa"/>
            <w:tcBorders>
              <w:top w:val="single" w:color="auto" w:sz="12" w:space="0"/>
              <w:left w:val="nil"/>
              <w:bottom w:val="single" w:color="auto" w:sz="4" w:space="0"/>
              <w:right w:val="nil"/>
            </w:tcBorders>
            <w:vAlign w:val="center"/>
          </w:tcPr>
          <w:p>
            <w:pPr>
              <w:spacing w:line="360" w:lineRule="auto"/>
              <w:ind w:left="0" w:leftChars="0" w:firstLine="0" w:firstLineChars="0"/>
              <w:jc w:val="center"/>
              <w:rPr>
                <w:rFonts w:hint="default" w:ascii="宋体" w:hAnsi="宋体" w:eastAsia="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2016</w:t>
            </w:r>
          </w:p>
        </w:tc>
        <w:tc>
          <w:tcPr>
            <w:tcW w:w="1419" w:type="dxa"/>
            <w:tcBorders>
              <w:top w:val="single" w:color="auto" w:sz="12" w:space="0"/>
              <w:left w:val="nil"/>
              <w:bottom w:val="single" w:color="auto" w:sz="4" w:space="0"/>
              <w:right w:val="nil"/>
            </w:tcBorders>
            <w:vAlign w:val="center"/>
          </w:tcPr>
          <w:p>
            <w:pPr>
              <w:spacing w:line="360" w:lineRule="auto"/>
              <w:ind w:left="0" w:leftChars="0" w:firstLine="0" w:firstLineChars="0"/>
              <w:jc w:val="center"/>
              <w:rPr>
                <w:rFonts w:hint="default" w:ascii="宋体" w:hAnsi="宋体" w:eastAsia="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2017</w:t>
            </w:r>
          </w:p>
        </w:tc>
        <w:tc>
          <w:tcPr>
            <w:tcW w:w="1419" w:type="dxa"/>
            <w:tcBorders>
              <w:top w:val="single" w:color="auto" w:sz="12" w:space="0"/>
              <w:left w:val="nil"/>
              <w:bottom w:val="single" w:color="auto" w:sz="4" w:space="0"/>
              <w:right w:val="nil"/>
            </w:tcBorders>
            <w:vAlign w:val="center"/>
          </w:tcPr>
          <w:p>
            <w:pPr>
              <w:spacing w:line="360" w:lineRule="auto"/>
              <w:ind w:left="0" w:leftChars="0" w:firstLine="0" w:firstLineChars="0"/>
              <w:jc w:val="center"/>
              <w:rPr>
                <w:rFonts w:hint="default" w:ascii="宋体" w:hAnsi="宋体" w:eastAsia="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2018</w:t>
            </w:r>
          </w:p>
        </w:tc>
        <w:tc>
          <w:tcPr>
            <w:tcW w:w="1419" w:type="dxa"/>
            <w:tcBorders>
              <w:top w:val="single" w:color="auto" w:sz="12" w:space="0"/>
              <w:left w:val="nil"/>
              <w:bottom w:val="single" w:color="auto" w:sz="4" w:space="0"/>
              <w:right w:val="nil"/>
            </w:tcBorders>
            <w:vAlign w:val="center"/>
          </w:tcPr>
          <w:p>
            <w:pPr>
              <w:spacing w:line="360" w:lineRule="auto"/>
              <w:ind w:left="0" w:leftChars="0" w:firstLine="0" w:firstLineChars="0"/>
              <w:jc w:val="center"/>
              <w:rPr>
                <w:rFonts w:hint="default" w:ascii="宋体" w:hAnsi="宋体" w:eastAsia="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80"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主营业务</w:t>
            </w:r>
            <w:r>
              <w:rPr>
                <w:rFonts w:hint="eastAsia" w:ascii="宋体" w:hAnsi="宋体" w:cs="宋体"/>
                <w:sz w:val="21"/>
                <w:szCs w:val="21"/>
                <w:highlight w:val="none"/>
                <w:vertAlign w:val="baseline"/>
                <w:lang w:val="en-US" w:eastAsia="zh-CN"/>
              </w:rPr>
              <w:t>成</w:t>
            </w:r>
            <w:r>
              <w:rPr>
                <w:rFonts w:hint="eastAsia" w:ascii="宋体" w:hAnsi="宋体" w:eastAsia="宋体" w:cs="宋体"/>
                <w:sz w:val="21"/>
                <w:szCs w:val="21"/>
                <w:highlight w:val="none"/>
                <w:vertAlign w:val="baseline"/>
                <w:lang w:val="en-US" w:eastAsia="zh-CN"/>
              </w:rPr>
              <w:t>本</w:t>
            </w:r>
          </w:p>
        </w:tc>
        <w:tc>
          <w:tcPr>
            <w:tcW w:w="1419"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rPr>
              <w:t>781936</w:t>
            </w:r>
            <w:r>
              <w:rPr>
                <w:rFonts w:hint="eastAsia" w:ascii="Times New Roman" w:hAnsi="Times New Roman" w:cs="Times New Roman"/>
                <w:sz w:val="21"/>
                <w:szCs w:val="21"/>
                <w:lang w:val="en-US" w:eastAsia="zh-CN"/>
              </w:rPr>
              <w:t>.</w:t>
            </w:r>
            <w:r>
              <w:rPr>
                <w:rFonts w:hint="default" w:ascii="Times New Roman" w:hAnsi="Times New Roman" w:eastAsia="宋体" w:cs="Times New Roman"/>
                <w:sz w:val="21"/>
                <w:szCs w:val="21"/>
              </w:rPr>
              <w:t>40</w:t>
            </w:r>
          </w:p>
        </w:tc>
        <w:tc>
          <w:tcPr>
            <w:tcW w:w="1419"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rPr>
              <w:t>1080404</w:t>
            </w:r>
            <w:r>
              <w:rPr>
                <w:rFonts w:hint="eastAsia" w:ascii="Times New Roman" w:hAnsi="Times New Roman" w:cs="Times New Roman"/>
                <w:sz w:val="21"/>
                <w:szCs w:val="21"/>
                <w:lang w:val="en-US" w:eastAsia="zh-CN"/>
              </w:rPr>
              <w:t>.</w:t>
            </w:r>
            <w:r>
              <w:rPr>
                <w:rFonts w:hint="default" w:ascii="Times New Roman" w:hAnsi="Times New Roman" w:eastAsia="宋体" w:cs="Times New Roman"/>
                <w:sz w:val="21"/>
                <w:szCs w:val="21"/>
              </w:rPr>
              <w:t>30</w:t>
            </w:r>
          </w:p>
        </w:tc>
        <w:tc>
          <w:tcPr>
            <w:tcW w:w="1419"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rPr>
              <w:t>1826030</w:t>
            </w:r>
            <w:r>
              <w:rPr>
                <w:rFonts w:hint="eastAsia" w:ascii="Times New Roman" w:hAnsi="Times New Roman" w:cs="Times New Roman"/>
                <w:sz w:val="21"/>
                <w:szCs w:val="21"/>
                <w:lang w:val="en-US" w:eastAsia="zh-CN"/>
              </w:rPr>
              <w:t>.</w:t>
            </w:r>
            <w:r>
              <w:rPr>
                <w:rFonts w:hint="default" w:ascii="Times New Roman" w:hAnsi="Times New Roman" w:eastAsia="宋体" w:cs="Times New Roman"/>
                <w:sz w:val="21"/>
                <w:szCs w:val="21"/>
              </w:rPr>
              <w:t>97</w:t>
            </w:r>
          </w:p>
        </w:tc>
        <w:tc>
          <w:tcPr>
            <w:tcW w:w="1419"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rPr>
              <w:t>2830443</w:t>
            </w:r>
            <w:r>
              <w:rPr>
                <w:rFonts w:hint="eastAsia" w:ascii="Times New Roman" w:hAnsi="Times New Roman" w:cs="Times New Roman"/>
                <w:sz w:val="21"/>
                <w:szCs w:val="21"/>
                <w:lang w:val="en-US" w:eastAsia="zh-CN"/>
              </w:rPr>
              <w:t>.</w:t>
            </w:r>
            <w:r>
              <w:rPr>
                <w:rFonts w:hint="default" w:ascii="Times New Roman" w:hAnsi="Times New Roman" w:eastAsia="宋体" w:cs="Times New Roman"/>
                <w:sz w:val="21"/>
                <w:szCs w:val="21"/>
              </w:rPr>
              <w:t>0</w:t>
            </w:r>
            <w:r>
              <w:rPr>
                <w:rFonts w:hint="eastAsia" w:ascii="Times New Roman" w:hAnsi="Times New Roman" w:cs="Times New Roman"/>
                <w:sz w:val="21"/>
                <w:szCs w:val="21"/>
                <w:lang w:val="en-US" w:eastAsia="zh-CN"/>
              </w:rPr>
              <w:t>9</w:t>
            </w:r>
          </w:p>
        </w:tc>
        <w:tc>
          <w:tcPr>
            <w:tcW w:w="1419"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rPr>
              <w:t>500678</w:t>
            </w:r>
            <w:r>
              <w:rPr>
                <w:rFonts w:hint="eastAsia" w:ascii="Times New Roman" w:hAnsi="Times New Roman" w:cs="Times New Roman"/>
                <w:sz w:val="21"/>
                <w:szCs w:val="21"/>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期初存货余额</w:t>
            </w:r>
          </w:p>
        </w:tc>
        <w:tc>
          <w:tcPr>
            <w:tcW w:w="141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Times New Roman" w:hAnsi="Times New Roman" w:eastAsia="宋体" w:cs="Times New Roman"/>
                <w:sz w:val="21"/>
                <w:szCs w:val="21"/>
                <w:highlight w:val="none"/>
                <w:vertAlign w:val="baseline"/>
                <w:lang w:eastAsia="zh-CN"/>
              </w:rPr>
            </w:pPr>
            <w:r>
              <w:rPr>
                <w:rFonts w:hint="default" w:ascii="Times New Roman" w:hAnsi="Times New Roman" w:eastAsia="宋体" w:cs="Times New Roman"/>
                <w:sz w:val="21"/>
                <w:szCs w:val="21"/>
                <w:highlight w:val="none"/>
              </w:rPr>
              <w:t>116109</w:t>
            </w:r>
            <w:r>
              <w:rPr>
                <w:rFonts w:hint="eastAsia" w:ascii="Times New Roman" w:hAnsi="Times New Roman" w:cs="Times New Roman"/>
                <w:sz w:val="21"/>
                <w:szCs w:val="21"/>
                <w:highlight w:val="none"/>
                <w:lang w:val="en-US" w:eastAsia="zh-CN"/>
              </w:rPr>
              <w:t>.</w:t>
            </w:r>
            <w:r>
              <w:rPr>
                <w:rFonts w:hint="default" w:ascii="Times New Roman" w:hAnsi="Times New Roman" w:eastAsia="宋体" w:cs="Times New Roman"/>
                <w:sz w:val="21"/>
                <w:szCs w:val="21"/>
                <w:highlight w:val="none"/>
              </w:rPr>
              <w:t>2</w:t>
            </w:r>
            <w:r>
              <w:rPr>
                <w:rFonts w:hint="eastAsia" w:ascii="Times New Roman" w:hAnsi="Times New Roman" w:cs="Times New Roman"/>
                <w:sz w:val="21"/>
                <w:szCs w:val="21"/>
                <w:highlight w:val="none"/>
                <w:lang w:val="en-US" w:eastAsia="zh-CN"/>
              </w:rPr>
              <w:t>4</w:t>
            </w:r>
          </w:p>
        </w:tc>
        <w:tc>
          <w:tcPr>
            <w:tcW w:w="141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rPr>
              <w:t>150857</w:t>
            </w:r>
            <w:r>
              <w:rPr>
                <w:rFonts w:hint="eastAsia" w:ascii="Times New Roman" w:hAnsi="Times New Roman" w:cs="Times New Roman"/>
                <w:sz w:val="21"/>
                <w:szCs w:val="21"/>
                <w:highlight w:val="none"/>
                <w:lang w:val="en-US" w:eastAsia="zh-CN"/>
              </w:rPr>
              <w:t>.20</w:t>
            </w:r>
          </w:p>
        </w:tc>
        <w:tc>
          <w:tcPr>
            <w:tcW w:w="141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rPr>
              <w:t>212165</w:t>
            </w:r>
            <w:r>
              <w:rPr>
                <w:rFonts w:hint="eastAsia" w:ascii="Times New Roman" w:hAnsi="Times New Roman" w:cs="Times New Roman"/>
                <w:sz w:val="21"/>
                <w:szCs w:val="21"/>
                <w:highlight w:val="none"/>
                <w:lang w:val="en-US" w:eastAsia="zh-CN"/>
              </w:rPr>
              <w:t>.60</w:t>
            </w:r>
          </w:p>
        </w:tc>
        <w:tc>
          <w:tcPr>
            <w:tcW w:w="141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rPr>
              <w:t>347375</w:t>
            </w:r>
            <w:r>
              <w:rPr>
                <w:rFonts w:hint="eastAsia" w:ascii="Times New Roman" w:hAnsi="Times New Roman" w:cs="Times New Roman"/>
                <w:sz w:val="21"/>
                <w:szCs w:val="21"/>
                <w:highlight w:val="none"/>
                <w:lang w:val="en-US" w:eastAsia="zh-CN"/>
              </w:rPr>
              <w:t>.</w:t>
            </w:r>
            <w:r>
              <w:rPr>
                <w:rFonts w:hint="default" w:ascii="Times New Roman" w:hAnsi="Times New Roman" w:eastAsia="宋体" w:cs="Times New Roman"/>
                <w:sz w:val="21"/>
                <w:szCs w:val="21"/>
                <w:highlight w:val="none"/>
              </w:rPr>
              <w:t>48</w:t>
            </w:r>
          </w:p>
        </w:tc>
        <w:tc>
          <w:tcPr>
            <w:tcW w:w="141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rPr>
              <w:t>473477</w:t>
            </w:r>
            <w:r>
              <w:rPr>
                <w:rFonts w:hint="eastAsia" w:ascii="Times New Roman" w:hAnsi="Times New Roman" w:cs="Times New Roman"/>
                <w:sz w:val="21"/>
                <w:szCs w:val="21"/>
                <w:highlight w:val="none"/>
                <w:lang w:val="en-US" w:eastAsia="zh-CN"/>
              </w:rPr>
              <w:t>.</w:t>
            </w:r>
            <w:r>
              <w:rPr>
                <w:rFonts w:hint="default" w:ascii="Times New Roman" w:hAnsi="Times New Roman" w:eastAsia="宋体" w:cs="Times New Roman"/>
                <w:sz w:val="21"/>
                <w:szCs w:val="21"/>
                <w:highlight w:val="none"/>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期末存货余额</w:t>
            </w:r>
          </w:p>
        </w:tc>
        <w:tc>
          <w:tcPr>
            <w:tcW w:w="141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rPr>
              <w:t>150857</w:t>
            </w:r>
            <w:r>
              <w:rPr>
                <w:rFonts w:hint="eastAsia" w:ascii="Times New Roman" w:hAnsi="Times New Roman" w:cs="Times New Roman"/>
                <w:sz w:val="21"/>
                <w:szCs w:val="21"/>
                <w:highlight w:val="none"/>
                <w:lang w:val="en-US" w:eastAsia="zh-CN"/>
              </w:rPr>
              <w:t>.20</w:t>
            </w:r>
          </w:p>
        </w:tc>
        <w:tc>
          <w:tcPr>
            <w:tcW w:w="141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rPr>
              <w:t>212165</w:t>
            </w:r>
            <w:r>
              <w:rPr>
                <w:rFonts w:hint="eastAsia" w:ascii="Times New Roman" w:hAnsi="Times New Roman" w:cs="Times New Roman"/>
                <w:sz w:val="21"/>
                <w:szCs w:val="21"/>
                <w:highlight w:val="none"/>
                <w:lang w:val="en-US" w:eastAsia="zh-CN"/>
              </w:rPr>
              <w:t>.60</w:t>
            </w:r>
          </w:p>
        </w:tc>
        <w:tc>
          <w:tcPr>
            <w:tcW w:w="141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rPr>
              <w:t>347375</w:t>
            </w:r>
            <w:r>
              <w:rPr>
                <w:rFonts w:hint="eastAsia" w:ascii="Times New Roman" w:hAnsi="Times New Roman" w:cs="Times New Roman"/>
                <w:sz w:val="21"/>
                <w:szCs w:val="21"/>
                <w:highlight w:val="none"/>
                <w:lang w:val="en-US" w:eastAsia="zh-CN"/>
              </w:rPr>
              <w:t>.</w:t>
            </w:r>
            <w:r>
              <w:rPr>
                <w:rFonts w:hint="default" w:ascii="Times New Roman" w:hAnsi="Times New Roman" w:eastAsia="宋体" w:cs="Times New Roman"/>
                <w:sz w:val="21"/>
                <w:szCs w:val="21"/>
                <w:highlight w:val="none"/>
              </w:rPr>
              <w:t>48</w:t>
            </w:r>
          </w:p>
        </w:tc>
        <w:tc>
          <w:tcPr>
            <w:tcW w:w="141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rPr>
              <w:t>473477</w:t>
            </w:r>
            <w:r>
              <w:rPr>
                <w:rFonts w:hint="eastAsia" w:ascii="Times New Roman" w:hAnsi="Times New Roman" w:cs="Times New Roman"/>
                <w:sz w:val="21"/>
                <w:szCs w:val="21"/>
                <w:highlight w:val="none"/>
                <w:lang w:val="en-US" w:eastAsia="zh-CN"/>
              </w:rPr>
              <w:t>.</w:t>
            </w:r>
            <w:r>
              <w:rPr>
                <w:rFonts w:hint="default" w:ascii="Times New Roman" w:hAnsi="Times New Roman" w:eastAsia="宋体" w:cs="Times New Roman"/>
                <w:sz w:val="21"/>
                <w:szCs w:val="21"/>
                <w:highlight w:val="none"/>
              </w:rPr>
              <w:t>55</w:t>
            </w:r>
          </w:p>
        </w:tc>
        <w:tc>
          <w:tcPr>
            <w:tcW w:w="141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Times New Roman" w:hAnsi="Times New Roman" w:eastAsia="宋体" w:cs="Times New Roman"/>
                <w:sz w:val="21"/>
                <w:szCs w:val="21"/>
                <w:highlight w:val="none"/>
                <w:vertAlign w:val="baseline"/>
                <w:lang w:eastAsia="zh-CN"/>
              </w:rPr>
            </w:pPr>
            <w:r>
              <w:rPr>
                <w:rFonts w:hint="default" w:ascii="Times New Roman" w:hAnsi="Times New Roman" w:eastAsia="宋体" w:cs="Times New Roman"/>
                <w:sz w:val="21"/>
                <w:szCs w:val="21"/>
                <w:highlight w:val="none"/>
              </w:rPr>
              <w:t>770085</w:t>
            </w:r>
            <w:r>
              <w:rPr>
                <w:rFonts w:hint="eastAsia" w:ascii="Times New Roman" w:hAnsi="Times New Roman" w:cs="Times New Roman"/>
                <w:sz w:val="21"/>
                <w:szCs w:val="21"/>
                <w:highlight w:val="none"/>
                <w:lang w:val="en-US" w:eastAsia="zh-CN"/>
              </w:rPr>
              <w:t>.</w:t>
            </w:r>
            <w:r>
              <w:rPr>
                <w:rFonts w:hint="default" w:ascii="Times New Roman" w:hAnsi="Times New Roman" w:eastAsia="宋体" w:cs="Times New Roman"/>
                <w:sz w:val="21"/>
                <w:szCs w:val="21"/>
                <w:highlight w:val="none"/>
              </w:rPr>
              <w:t>7</w:t>
            </w:r>
            <w:r>
              <w:rPr>
                <w:rFonts w:hint="eastAsia" w:ascii="Times New Roman" w:hAnsi="Times New Roman" w:cs="Times New Roman"/>
                <w:sz w:val="21"/>
                <w:szCs w:val="21"/>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宋体" w:hAnsi="宋体" w:eastAsia="宋体" w:cs="宋体"/>
                <w:sz w:val="21"/>
                <w:szCs w:val="21"/>
                <w:highlight w:val="none"/>
                <w:vertAlign w:val="baseline"/>
                <w:lang w:val="en-US" w:eastAsia="zh-CN"/>
              </w:rPr>
            </w:pPr>
            <w:r>
              <w:rPr>
                <w:rFonts w:hint="eastAsia" w:ascii="宋体" w:hAnsi="宋体" w:cs="宋体"/>
                <w:sz w:val="21"/>
                <w:szCs w:val="21"/>
                <w:highlight w:val="none"/>
                <w:vertAlign w:val="baseline"/>
                <w:lang w:val="en-US" w:eastAsia="zh-CN"/>
              </w:rPr>
              <w:t>存货平均余额</w:t>
            </w:r>
          </w:p>
        </w:tc>
        <w:tc>
          <w:tcPr>
            <w:tcW w:w="141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rPr>
              <w:t>133483</w:t>
            </w:r>
            <w:r>
              <w:rPr>
                <w:rFonts w:hint="eastAsia" w:ascii="Times New Roman" w:hAnsi="Times New Roman" w:cs="Times New Roman"/>
                <w:sz w:val="21"/>
                <w:szCs w:val="21"/>
                <w:highlight w:val="none"/>
                <w:lang w:val="en-US" w:eastAsia="zh-CN"/>
              </w:rPr>
              <w:t>.</w:t>
            </w:r>
            <w:r>
              <w:rPr>
                <w:rFonts w:hint="default" w:ascii="Times New Roman" w:hAnsi="Times New Roman" w:eastAsia="宋体" w:cs="Times New Roman"/>
                <w:sz w:val="21"/>
                <w:szCs w:val="21"/>
                <w:highlight w:val="none"/>
              </w:rPr>
              <w:t>2</w:t>
            </w:r>
            <w:r>
              <w:rPr>
                <w:rFonts w:hint="eastAsia" w:ascii="Times New Roman" w:hAnsi="Times New Roman" w:cs="Times New Roman"/>
                <w:sz w:val="21"/>
                <w:szCs w:val="21"/>
                <w:highlight w:val="none"/>
                <w:lang w:val="en-US" w:eastAsia="zh-CN"/>
              </w:rPr>
              <w:t>2</w:t>
            </w:r>
          </w:p>
        </w:tc>
        <w:tc>
          <w:tcPr>
            <w:tcW w:w="141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181511</w:t>
            </w:r>
            <w:r>
              <w:rPr>
                <w:rFonts w:hint="eastAsia" w:ascii="Times New Roman" w:hAnsi="Times New Roman" w:cs="Times New Roman"/>
                <w:sz w:val="21"/>
                <w:szCs w:val="21"/>
                <w:highlight w:val="none"/>
                <w:lang w:val="en-US" w:eastAsia="zh-CN"/>
              </w:rPr>
              <w:t>.40</w:t>
            </w:r>
          </w:p>
        </w:tc>
        <w:tc>
          <w:tcPr>
            <w:tcW w:w="141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279770</w:t>
            </w:r>
            <w:r>
              <w:rPr>
                <w:rFonts w:hint="eastAsia" w:ascii="Times New Roman" w:hAnsi="Times New Roman" w:cs="Times New Roman"/>
                <w:sz w:val="21"/>
                <w:szCs w:val="21"/>
                <w:highlight w:val="none"/>
                <w:lang w:val="en-US" w:eastAsia="zh-CN"/>
              </w:rPr>
              <w:t>.</w:t>
            </w:r>
            <w:r>
              <w:rPr>
                <w:rFonts w:hint="default" w:ascii="Times New Roman" w:hAnsi="Times New Roman" w:eastAsia="宋体" w:cs="Times New Roman"/>
                <w:sz w:val="21"/>
                <w:szCs w:val="21"/>
                <w:highlight w:val="none"/>
              </w:rPr>
              <w:t>54</w:t>
            </w:r>
          </w:p>
        </w:tc>
        <w:tc>
          <w:tcPr>
            <w:tcW w:w="141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rPr>
              <w:t>410426</w:t>
            </w:r>
            <w:r>
              <w:rPr>
                <w:rFonts w:hint="eastAsia" w:ascii="Times New Roman" w:hAnsi="Times New Roman" w:cs="Times New Roman"/>
                <w:sz w:val="21"/>
                <w:szCs w:val="21"/>
                <w:highlight w:val="none"/>
                <w:lang w:val="en-US" w:eastAsia="zh-CN"/>
              </w:rPr>
              <w:t>.</w:t>
            </w:r>
            <w:r>
              <w:rPr>
                <w:rFonts w:hint="default" w:ascii="Times New Roman" w:hAnsi="Times New Roman" w:eastAsia="宋体" w:cs="Times New Roman"/>
                <w:sz w:val="21"/>
                <w:szCs w:val="21"/>
                <w:highlight w:val="none"/>
              </w:rPr>
              <w:t>5</w:t>
            </w:r>
            <w:r>
              <w:rPr>
                <w:rFonts w:hint="eastAsia" w:ascii="Times New Roman" w:hAnsi="Times New Roman" w:cs="Times New Roman"/>
                <w:sz w:val="21"/>
                <w:szCs w:val="21"/>
                <w:highlight w:val="none"/>
                <w:lang w:val="en-US" w:eastAsia="zh-CN"/>
              </w:rPr>
              <w:t>2</w:t>
            </w:r>
          </w:p>
        </w:tc>
        <w:tc>
          <w:tcPr>
            <w:tcW w:w="141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621781</w:t>
            </w:r>
            <w:r>
              <w:rPr>
                <w:rFonts w:hint="eastAsia" w:ascii="Times New Roman" w:hAnsi="Times New Roman" w:cs="Times New Roman"/>
                <w:sz w:val="21"/>
                <w:szCs w:val="21"/>
                <w:highlight w:val="none"/>
                <w:lang w:val="en-US" w:eastAsia="zh-CN"/>
              </w:rPr>
              <w:t>.</w:t>
            </w:r>
            <w:r>
              <w:rPr>
                <w:rFonts w:hint="default" w:ascii="Times New Roman" w:hAnsi="Times New Roman" w:eastAsia="宋体" w:cs="Times New Roman"/>
                <w:sz w:val="21"/>
                <w:szCs w:val="21"/>
                <w:highlight w:val="non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80" w:type="dxa"/>
            <w:tcBorders>
              <w:top w:val="nil"/>
              <w:left w:val="nil"/>
              <w:bottom w:val="single" w:color="auto" w:sz="12" w:space="0"/>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存货周转期</w:t>
            </w:r>
          </w:p>
        </w:tc>
        <w:tc>
          <w:tcPr>
            <w:tcW w:w="1419" w:type="dxa"/>
            <w:tcBorders>
              <w:top w:val="nil"/>
              <w:left w:val="nil"/>
              <w:bottom w:val="single" w:color="auto" w:sz="12" w:space="0"/>
              <w:right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bottom"/>
              <w:rPr>
                <w:rFonts w:hint="default" w:ascii="Times New Roman" w:hAnsi="Times New Roman" w:eastAsia="宋体" w:cs="Times New Roman"/>
                <w:i w:val="0"/>
                <w:color w:val="000000"/>
                <w:spacing w:val="-2"/>
                <w:kern w:val="0"/>
                <w:sz w:val="21"/>
                <w:szCs w:val="21"/>
                <w:highlight w:val="none"/>
                <w:u w:val="none"/>
                <w:lang w:val="en-US" w:eastAsia="zh-CN" w:bidi="ar"/>
              </w:rPr>
            </w:pPr>
            <w:r>
              <w:rPr>
                <w:rFonts w:hint="default" w:ascii="Times New Roman" w:hAnsi="Times New Roman" w:eastAsia="宋体" w:cs="Times New Roman"/>
                <w:i w:val="0"/>
                <w:color w:val="000000"/>
                <w:spacing w:val="-2"/>
                <w:kern w:val="0"/>
                <w:sz w:val="21"/>
                <w:szCs w:val="21"/>
                <w:highlight w:val="none"/>
                <w:u w:val="none"/>
                <w:lang w:val="en-US" w:eastAsia="zh-CN" w:bidi="ar"/>
              </w:rPr>
              <w:t>62.3</w:t>
            </w:r>
          </w:p>
        </w:tc>
        <w:tc>
          <w:tcPr>
            <w:tcW w:w="1419" w:type="dxa"/>
            <w:tcBorders>
              <w:top w:val="nil"/>
              <w:left w:val="nil"/>
              <w:bottom w:val="single" w:color="auto" w:sz="12" w:space="0"/>
              <w:right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bottom"/>
              <w:rPr>
                <w:rFonts w:hint="default" w:ascii="Times New Roman" w:hAnsi="Times New Roman" w:eastAsia="宋体" w:cs="Times New Roman"/>
                <w:i w:val="0"/>
                <w:color w:val="000000"/>
                <w:spacing w:val="-2"/>
                <w:kern w:val="0"/>
                <w:sz w:val="21"/>
                <w:szCs w:val="21"/>
                <w:highlight w:val="none"/>
                <w:u w:val="none"/>
                <w:lang w:val="en-US" w:eastAsia="zh-CN" w:bidi="ar"/>
              </w:rPr>
            </w:pPr>
            <w:r>
              <w:rPr>
                <w:rFonts w:hint="default" w:ascii="Times New Roman" w:hAnsi="Times New Roman" w:eastAsia="宋体" w:cs="Times New Roman"/>
                <w:i w:val="0"/>
                <w:color w:val="000000"/>
                <w:spacing w:val="-2"/>
                <w:kern w:val="0"/>
                <w:sz w:val="21"/>
                <w:szCs w:val="21"/>
                <w:highlight w:val="none"/>
                <w:u w:val="none"/>
                <w:lang w:val="en-US" w:eastAsia="zh-CN" w:bidi="ar"/>
              </w:rPr>
              <w:t>61.3</w:t>
            </w:r>
          </w:p>
        </w:tc>
        <w:tc>
          <w:tcPr>
            <w:tcW w:w="1419" w:type="dxa"/>
            <w:tcBorders>
              <w:top w:val="nil"/>
              <w:left w:val="nil"/>
              <w:bottom w:val="single" w:color="auto" w:sz="12" w:space="0"/>
              <w:right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bottom"/>
              <w:rPr>
                <w:rFonts w:hint="default" w:ascii="Times New Roman" w:hAnsi="Times New Roman" w:eastAsia="宋体" w:cs="Times New Roman"/>
                <w:i w:val="0"/>
                <w:color w:val="000000"/>
                <w:spacing w:val="-2"/>
                <w:kern w:val="0"/>
                <w:sz w:val="21"/>
                <w:szCs w:val="21"/>
                <w:highlight w:val="none"/>
                <w:u w:val="none"/>
                <w:lang w:val="en-US" w:eastAsia="zh-CN" w:bidi="ar"/>
              </w:rPr>
            </w:pPr>
            <w:r>
              <w:rPr>
                <w:rFonts w:hint="default" w:ascii="Times New Roman" w:hAnsi="Times New Roman" w:eastAsia="宋体" w:cs="Times New Roman"/>
                <w:i w:val="0"/>
                <w:color w:val="000000"/>
                <w:spacing w:val="-2"/>
                <w:kern w:val="0"/>
                <w:sz w:val="21"/>
                <w:szCs w:val="21"/>
                <w:highlight w:val="none"/>
                <w:u w:val="none"/>
                <w:lang w:val="en-US" w:eastAsia="zh-CN" w:bidi="ar"/>
              </w:rPr>
              <w:t>55.9</w:t>
            </w:r>
          </w:p>
        </w:tc>
        <w:tc>
          <w:tcPr>
            <w:tcW w:w="1419" w:type="dxa"/>
            <w:tcBorders>
              <w:top w:val="nil"/>
              <w:left w:val="nil"/>
              <w:bottom w:val="single" w:color="auto" w:sz="12" w:space="0"/>
              <w:right w:val="nil"/>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bottom"/>
              <w:rPr>
                <w:rFonts w:hint="default" w:ascii="Times New Roman" w:hAnsi="Times New Roman" w:eastAsia="宋体" w:cs="Times New Roman"/>
                <w:i w:val="0"/>
                <w:color w:val="000000"/>
                <w:spacing w:val="-2"/>
                <w:sz w:val="21"/>
                <w:szCs w:val="21"/>
                <w:highlight w:val="none"/>
                <w:u w:val="none"/>
                <w:lang w:val="en-US" w:eastAsia="zh-CN" w:bidi="ar-SA"/>
              </w:rPr>
            </w:pPr>
            <w:r>
              <w:rPr>
                <w:rFonts w:hint="default" w:ascii="Times New Roman" w:hAnsi="Times New Roman" w:eastAsia="宋体" w:cs="Times New Roman"/>
                <w:i w:val="0"/>
                <w:color w:val="000000"/>
                <w:spacing w:val="-2"/>
                <w:kern w:val="0"/>
                <w:sz w:val="21"/>
                <w:szCs w:val="21"/>
                <w:highlight w:val="none"/>
                <w:u w:val="none"/>
                <w:lang w:val="en-US" w:eastAsia="zh-CN" w:bidi="ar"/>
              </w:rPr>
              <w:t>52.</w:t>
            </w:r>
            <w:r>
              <w:rPr>
                <w:rFonts w:hint="default" w:ascii="Times New Roman" w:hAnsi="Times New Roman" w:cs="Times New Roman"/>
                <w:i w:val="0"/>
                <w:color w:val="000000"/>
                <w:spacing w:val="-2"/>
                <w:kern w:val="0"/>
                <w:sz w:val="21"/>
                <w:szCs w:val="21"/>
                <w:highlight w:val="none"/>
                <w:u w:val="none"/>
                <w:lang w:val="en-US" w:eastAsia="zh-CN" w:bidi="ar"/>
              </w:rPr>
              <w:t>9</w:t>
            </w:r>
          </w:p>
        </w:tc>
        <w:tc>
          <w:tcPr>
            <w:tcW w:w="1419" w:type="dxa"/>
            <w:tcBorders>
              <w:top w:val="nil"/>
              <w:left w:val="nil"/>
              <w:bottom w:val="single" w:color="auto" w:sz="12" w:space="0"/>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45.3</w:t>
            </w:r>
          </w:p>
        </w:tc>
      </w:tr>
    </w:tbl>
    <w:p>
      <w:pPr>
        <w:keepNext w:val="0"/>
        <w:keepLines w:val="0"/>
        <w:pageBreakBefore w:val="0"/>
        <w:widowControl/>
        <w:kinsoku/>
        <w:wordWrap/>
        <w:overflowPunct/>
        <w:topLinePunct w:val="0"/>
        <w:autoSpaceDE/>
        <w:autoSpaceDN/>
        <w:bidi w:val="0"/>
        <w:adjustRightInd/>
        <w:snapToGrid/>
        <w:spacing w:line="360" w:lineRule="auto"/>
        <w:ind w:firstLine="352" w:firstLineChars="200"/>
        <w:textAlignment w:val="auto"/>
        <w:rPr>
          <w:rFonts w:hint="eastAsia" w:ascii="宋体" w:hAnsi="宋体" w:cs="宋体"/>
          <w:sz w:val="18"/>
          <w:szCs w:val="18"/>
          <w:highlight w:val="none"/>
          <w:lang w:val="en-US" w:eastAsia="zh-CN"/>
        </w:rPr>
      </w:pPr>
      <w:r>
        <w:rPr>
          <w:rFonts w:hint="eastAsia" w:ascii="宋体" w:hAnsi="宋体" w:eastAsia="宋体" w:cs="宋体"/>
          <w:sz w:val="18"/>
          <w:szCs w:val="18"/>
          <w:highlight w:val="none"/>
        </w:rPr>
        <w:t>资料来源：节选自</w:t>
      </w:r>
      <w:r>
        <w:rPr>
          <w:rFonts w:hint="eastAsia" w:ascii="宋体" w:hAnsi="宋体" w:cs="宋体"/>
          <w:sz w:val="18"/>
          <w:szCs w:val="18"/>
          <w:highlight w:val="none"/>
          <w:lang w:val="en-US" w:eastAsia="zh-CN"/>
        </w:rPr>
        <w:t>立讯精密2015—2019财务报表</w:t>
      </w:r>
    </w:p>
    <w:p>
      <w:pPr>
        <w:keepNext w:val="0"/>
        <w:keepLines w:val="0"/>
        <w:pageBreakBefore w:val="0"/>
        <w:widowControl/>
        <w:kinsoku/>
        <w:wordWrap/>
        <w:overflowPunct/>
        <w:topLinePunct w:val="0"/>
        <w:autoSpaceDE/>
        <w:autoSpaceDN/>
        <w:bidi w:val="0"/>
        <w:adjustRightInd/>
        <w:snapToGrid/>
        <w:spacing w:line="360" w:lineRule="auto"/>
        <w:ind w:firstLine="472" w:firstLineChars="200"/>
        <w:jc w:val="both"/>
        <w:textAlignment w:val="auto"/>
        <w:rPr>
          <w:rFonts w:hint="default" w:ascii="黑体" w:hAnsi="黑体" w:eastAsia="黑体" w:cs="黑体"/>
          <w:sz w:val="21"/>
          <w:szCs w:val="21"/>
          <w:highlight w:val="none"/>
          <w:lang w:val="en-US" w:eastAsia="zh-CN"/>
        </w:rPr>
      </w:pPr>
      <w:r>
        <w:rPr>
          <w:rFonts w:hint="eastAsia" w:ascii="宋体" w:hAnsi="宋体" w:cs="宋体"/>
          <w:sz w:val="24"/>
          <w:highlight w:val="none"/>
          <w:lang w:val="en-US" w:eastAsia="zh-CN"/>
        </w:rPr>
        <w:t>工业富联存货周转期计算结果如下：</w:t>
      </w:r>
    </w:p>
    <w:p>
      <w:pPr>
        <w:keepNext w:val="0"/>
        <w:keepLines w:val="0"/>
        <w:pageBreakBefore w:val="0"/>
        <w:widowControl/>
        <w:kinsoku/>
        <w:wordWrap/>
        <w:overflowPunct/>
        <w:topLinePunct w:val="0"/>
        <w:autoSpaceDE/>
        <w:autoSpaceDN/>
        <w:bidi w:val="0"/>
        <w:adjustRightInd/>
        <w:snapToGrid/>
        <w:spacing w:line="360" w:lineRule="auto"/>
        <w:ind w:firstLine="412" w:firstLineChars="200"/>
        <w:jc w:val="right"/>
        <w:textAlignment w:val="auto"/>
        <w:rPr>
          <w:rFonts w:hint="eastAsia" w:ascii="宋体" w:hAnsi="宋体" w:eastAsia="黑体" w:cs="宋体"/>
          <w:sz w:val="18"/>
          <w:szCs w:val="18"/>
          <w:highlight w:val="none"/>
          <w:lang w:val="en-US" w:eastAsia="zh-CN"/>
        </w:rPr>
      </w:pPr>
      <w:r>
        <w:rPr>
          <w:rFonts w:hint="eastAsia" w:ascii="黑体" w:hAnsi="黑体" w:eastAsia="黑体" w:cs="黑体"/>
          <w:sz w:val="21"/>
          <w:szCs w:val="21"/>
          <w:highlight w:val="none"/>
        </w:rPr>
        <w:t>表 3-</w:t>
      </w:r>
      <w:r>
        <w:rPr>
          <w:rFonts w:hint="eastAsia" w:ascii="黑体" w:hAnsi="黑体" w:eastAsia="黑体" w:cs="黑体"/>
          <w:sz w:val="21"/>
          <w:szCs w:val="21"/>
          <w:highlight w:val="none"/>
          <w:lang w:val="en-US" w:eastAsia="zh-CN"/>
        </w:rPr>
        <w:t>3  工业富联存货周转期</w:t>
      </w:r>
      <w:r>
        <w:rPr>
          <w:rFonts w:hint="eastAsia" w:ascii="黑体" w:hAnsi="黑体" w:eastAsia="黑体" w:cs="黑体"/>
          <w:sz w:val="21"/>
          <w:szCs w:val="21"/>
        </w:rPr>
        <w:t xml:space="preserve">                       </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单位：</w:t>
      </w:r>
      <w:r>
        <w:rPr>
          <w:rFonts w:hint="eastAsia" w:ascii="黑体" w:hAnsi="黑体" w:eastAsia="黑体" w:cs="黑体"/>
          <w:sz w:val="21"/>
          <w:szCs w:val="21"/>
          <w:lang w:val="en-US" w:eastAsia="zh-CN"/>
        </w:rPr>
        <w:t>天</w:t>
      </w:r>
    </w:p>
    <w:tbl>
      <w:tblPr>
        <w:tblStyle w:val="2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1800"/>
        <w:gridCol w:w="1800"/>
        <w:gridCol w:w="180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800" w:type="dxa"/>
            <w:tcBorders>
              <w:top w:val="single" w:color="auto" w:sz="12" w:space="0"/>
              <w:left w:val="nil"/>
              <w:bottom w:val="single" w:color="auto" w:sz="4" w:space="0"/>
              <w:right w:val="nil"/>
            </w:tcBorders>
          </w:tcPr>
          <w:p>
            <w:pPr>
              <w:spacing w:line="360" w:lineRule="auto"/>
              <w:ind w:left="0" w:leftChars="0" w:firstLine="0" w:firstLineChars="0"/>
              <w:jc w:val="center"/>
              <w:rPr>
                <w:rFonts w:hint="eastAsia"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项目</w:t>
            </w:r>
          </w:p>
        </w:tc>
        <w:tc>
          <w:tcPr>
            <w:tcW w:w="1800" w:type="dxa"/>
            <w:tcBorders>
              <w:top w:val="single" w:color="auto" w:sz="12" w:space="0"/>
              <w:left w:val="nil"/>
              <w:bottom w:val="single" w:color="auto" w:sz="4" w:space="0"/>
              <w:right w:val="nil"/>
            </w:tcBorders>
          </w:tcPr>
          <w:p>
            <w:pPr>
              <w:spacing w:line="360" w:lineRule="auto"/>
              <w:ind w:left="0" w:leftChars="0" w:firstLine="0" w:firstLineChars="0"/>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2016</w:t>
            </w:r>
          </w:p>
        </w:tc>
        <w:tc>
          <w:tcPr>
            <w:tcW w:w="1800" w:type="dxa"/>
            <w:tcBorders>
              <w:top w:val="single" w:color="auto" w:sz="12" w:space="0"/>
              <w:left w:val="nil"/>
              <w:bottom w:val="single" w:color="auto" w:sz="4" w:space="0"/>
              <w:right w:val="nil"/>
            </w:tcBorders>
          </w:tcPr>
          <w:p>
            <w:pPr>
              <w:spacing w:line="360" w:lineRule="auto"/>
              <w:ind w:left="0" w:leftChars="0" w:firstLine="0" w:firstLineChars="0"/>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2017</w:t>
            </w:r>
          </w:p>
        </w:tc>
        <w:tc>
          <w:tcPr>
            <w:tcW w:w="1800" w:type="dxa"/>
            <w:tcBorders>
              <w:top w:val="single" w:color="auto" w:sz="12" w:space="0"/>
              <w:left w:val="nil"/>
              <w:bottom w:val="single" w:color="auto" w:sz="4" w:space="0"/>
              <w:right w:val="nil"/>
            </w:tcBorders>
          </w:tcPr>
          <w:p>
            <w:pPr>
              <w:spacing w:line="360" w:lineRule="auto"/>
              <w:ind w:left="0" w:leftChars="0" w:firstLine="0" w:firstLineChars="0"/>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2018</w:t>
            </w:r>
          </w:p>
        </w:tc>
        <w:tc>
          <w:tcPr>
            <w:tcW w:w="1800" w:type="dxa"/>
            <w:tcBorders>
              <w:top w:val="single" w:color="auto" w:sz="12" w:space="0"/>
              <w:left w:val="nil"/>
              <w:bottom w:val="single" w:color="auto" w:sz="4" w:space="0"/>
              <w:right w:val="nil"/>
            </w:tcBorders>
          </w:tcPr>
          <w:p>
            <w:pPr>
              <w:spacing w:line="360" w:lineRule="auto"/>
              <w:ind w:left="0" w:leftChars="0" w:firstLine="0" w:firstLineChars="0"/>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800" w:type="dxa"/>
            <w:tcBorders>
              <w:top w:val="single" w:color="auto" w:sz="4" w:space="0"/>
              <w:left w:val="nil"/>
              <w:bottom w:val="single" w:color="auto" w:sz="12" w:space="0"/>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存货周转期</w:t>
            </w:r>
          </w:p>
        </w:tc>
        <w:tc>
          <w:tcPr>
            <w:tcW w:w="1800" w:type="dxa"/>
            <w:tcBorders>
              <w:top w:val="single" w:color="auto" w:sz="4" w:space="0"/>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cs="Times New Roman"/>
                <w:sz w:val="21"/>
                <w:szCs w:val="21"/>
                <w:highlight w:val="none"/>
                <w:vertAlign w:val="baseline"/>
                <w:lang w:val="en-US" w:eastAsia="zh-CN"/>
              </w:rPr>
              <w:t>41.7</w:t>
            </w:r>
          </w:p>
        </w:tc>
        <w:tc>
          <w:tcPr>
            <w:tcW w:w="1800" w:type="dxa"/>
            <w:tcBorders>
              <w:top w:val="single" w:color="auto" w:sz="4" w:space="0"/>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cs="Times New Roman"/>
                <w:sz w:val="21"/>
                <w:szCs w:val="21"/>
                <w:highlight w:val="none"/>
                <w:vertAlign w:val="baseline"/>
                <w:lang w:val="en-US" w:eastAsia="zh-CN"/>
              </w:rPr>
              <w:t>36.7</w:t>
            </w:r>
          </w:p>
        </w:tc>
        <w:tc>
          <w:tcPr>
            <w:tcW w:w="1800" w:type="dxa"/>
            <w:tcBorders>
              <w:top w:val="single" w:color="auto" w:sz="4" w:space="0"/>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cs="Times New Roman"/>
                <w:sz w:val="21"/>
                <w:szCs w:val="21"/>
                <w:highlight w:val="none"/>
                <w:vertAlign w:val="baseline"/>
                <w:lang w:val="en-US" w:eastAsia="zh-CN"/>
              </w:rPr>
              <w:t>35.1</w:t>
            </w:r>
          </w:p>
        </w:tc>
        <w:tc>
          <w:tcPr>
            <w:tcW w:w="1800" w:type="dxa"/>
            <w:tcBorders>
              <w:top w:val="single" w:color="auto" w:sz="4" w:space="0"/>
              <w:left w:val="nil"/>
              <w:bottom w:val="single" w:color="auto" w:sz="12" w:space="0"/>
              <w:right w:val="nil"/>
            </w:tcBorders>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cs="Times New Roman"/>
                <w:sz w:val="21"/>
                <w:szCs w:val="21"/>
                <w:highlight w:val="none"/>
                <w:vertAlign w:val="baseline"/>
                <w:lang w:val="en-US" w:eastAsia="zh-CN"/>
              </w:rPr>
              <w:t>38.6</w:t>
            </w:r>
          </w:p>
        </w:tc>
      </w:tr>
    </w:tbl>
    <w:p>
      <w:pPr>
        <w:keepNext w:val="0"/>
        <w:keepLines w:val="0"/>
        <w:pageBreakBefore w:val="0"/>
        <w:widowControl/>
        <w:kinsoku/>
        <w:wordWrap/>
        <w:overflowPunct/>
        <w:topLinePunct w:val="0"/>
        <w:autoSpaceDE/>
        <w:autoSpaceDN/>
        <w:bidi w:val="0"/>
        <w:adjustRightInd/>
        <w:snapToGrid/>
        <w:spacing w:line="360" w:lineRule="auto"/>
        <w:ind w:left="0" w:leftChars="0" w:firstLine="352" w:firstLineChars="200"/>
        <w:jc w:val="both"/>
        <w:textAlignment w:val="auto"/>
        <w:rPr>
          <w:rFonts w:hint="eastAsia" w:ascii="宋体" w:hAnsi="宋体" w:cs="宋体"/>
          <w:sz w:val="18"/>
          <w:szCs w:val="18"/>
          <w:highlight w:val="none"/>
          <w:lang w:val="en-US" w:eastAsia="zh-CN"/>
        </w:rPr>
      </w:pPr>
      <w:r>
        <w:rPr>
          <w:rFonts w:hint="eastAsia" w:ascii="宋体" w:hAnsi="宋体" w:eastAsia="宋体" w:cs="宋体"/>
          <w:sz w:val="18"/>
          <w:szCs w:val="18"/>
          <w:highlight w:val="none"/>
        </w:rPr>
        <w:t>资料来源：</w:t>
      </w:r>
      <w:r>
        <w:rPr>
          <w:rFonts w:hint="eastAsia" w:ascii="宋体" w:hAnsi="宋体" w:cs="宋体"/>
          <w:sz w:val="18"/>
          <w:szCs w:val="18"/>
          <w:highlight w:val="none"/>
          <w:lang w:val="en-US" w:eastAsia="zh-CN"/>
        </w:rPr>
        <w:t>企业年报整理所得</w:t>
      </w:r>
    </w:p>
    <w:p>
      <w:pPr>
        <w:keepNext w:val="0"/>
        <w:keepLines w:val="0"/>
        <w:pageBreakBefore w:val="0"/>
        <w:widowControl/>
        <w:kinsoku/>
        <w:wordWrap/>
        <w:overflowPunct/>
        <w:topLinePunct w:val="0"/>
        <w:autoSpaceDE/>
        <w:autoSpaceDN/>
        <w:bidi w:val="0"/>
        <w:adjustRightInd/>
        <w:snapToGrid/>
        <w:spacing w:line="360" w:lineRule="auto"/>
        <w:ind w:left="0" w:leftChars="0" w:firstLine="472" w:firstLineChars="200"/>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从上表</w:t>
      </w:r>
      <w:r>
        <w:rPr>
          <w:rFonts w:hint="default" w:ascii="Times New Roman" w:hAnsi="Times New Roman" w:cs="Times New Roman"/>
          <w:sz w:val="24"/>
          <w:highlight w:val="none"/>
          <w:lang w:val="en-US" w:eastAsia="zh-CN"/>
        </w:rPr>
        <w:t>3-</w:t>
      </w:r>
      <w:r>
        <w:rPr>
          <w:rFonts w:hint="eastAsia" w:ascii="Times New Roman" w:hAnsi="Times New Roman" w:cs="Times New Roman"/>
          <w:sz w:val="24"/>
          <w:highlight w:val="none"/>
          <w:lang w:val="en-US" w:eastAsia="zh-CN"/>
        </w:rPr>
        <w:t>2</w:t>
      </w:r>
      <w:r>
        <w:rPr>
          <w:rFonts w:hint="eastAsia" w:ascii="宋体" w:hAnsi="宋体" w:cs="宋体"/>
          <w:sz w:val="24"/>
          <w:highlight w:val="none"/>
          <w:lang w:val="en-US" w:eastAsia="zh-CN"/>
        </w:rPr>
        <w:t>可知，立讯精密在</w:t>
      </w:r>
      <w:r>
        <w:rPr>
          <w:rFonts w:hint="eastAsia" w:ascii="Times New Roman" w:hAnsi="Times New Roman" w:cs="Times New Roman"/>
          <w:sz w:val="24"/>
          <w:highlight w:val="none"/>
          <w:lang w:val="en-US" w:eastAsia="zh-CN"/>
        </w:rPr>
        <w:t>2015——2019</w:t>
      </w:r>
      <w:r>
        <w:rPr>
          <w:rFonts w:hint="eastAsia" w:ascii="宋体" w:hAnsi="宋体" w:cs="宋体"/>
          <w:sz w:val="24"/>
          <w:highlight w:val="none"/>
          <w:lang w:val="en-US" w:eastAsia="zh-CN"/>
        </w:rPr>
        <w:t>年的存货周期呈先上升后下降的趋势，基本维持在</w:t>
      </w:r>
      <w:r>
        <w:rPr>
          <w:rFonts w:hint="eastAsia" w:ascii="Times New Roman" w:hAnsi="Times New Roman" w:cs="Times New Roman"/>
          <w:sz w:val="24"/>
          <w:highlight w:val="none"/>
          <w:lang w:val="en-US" w:eastAsia="zh-CN"/>
        </w:rPr>
        <w:t>45—63</w:t>
      </w:r>
      <w:r>
        <w:rPr>
          <w:rFonts w:hint="eastAsia" w:ascii="宋体" w:hAnsi="宋体" w:cs="宋体"/>
          <w:sz w:val="24"/>
          <w:highlight w:val="none"/>
          <w:lang w:val="en-US" w:eastAsia="zh-CN"/>
        </w:rPr>
        <w:t>天，符合行业正常存货管理期限标准，但与规模相似的工业富联对比分析后，仍处于劣势，应在接下来的营运资金管理中持续关注对存货周转期的控制，根据企业自身经营特点制定采购、生产、销售环节的策略，不断降低相关成本，减少库存时间，使存货变现，维持稳定的下降趋势，切实降低存货的周转期，提高营运资金的周转速度。</w:t>
      </w:r>
    </w:p>
    <w:p>
      <w:pPr>
        <w:pStyle w:val="5"/>
        <w:keepNext w:val="0"/>
        <w:keepLines w:val="0"/>
        <w:pageBreakBefore w:val="0"/>
        <w:widowControl/>
        <w:kinsoku/>
        <w:wordWrap/>
        <w:overflowPunct/>
        <w:topLinePunct w:val="0"/>
        <w:autoSpaceDE/>
        <w:autoSpaceDN/>
        <w:bidi w:val="0"/>
        <w:adjustRightInd/>
        <w:snapToGrid/>
        <w:spacing w:before="0" w:after="0" w:line="360" w:lineRule="auto"/>
        <w:ind w:firstLine="552" w:firstLineChars="200"/>
        <w:textAlignment w:val="auto"/>
        <w:rPr>
          <w:rFonts w:hint="default" w:ascii="黑体" w:hAnsi="黑体" w:cs="黑体"/>
          <w:b w:val="0"/>
          <w:bCs w:val="0"/>
          <w:sz w:val="28"/>
          <w:szCs w:val="28"/>
          <w:lang w:val="en-US" w:eastAsia="zh-CN"/>
        </w:rPr>
      </w:pPr>
      <w:bookmarkStart w:id="64" w:name="_Toc21995"/>
      <w:r>
        <w:rPr>
          <w:rFonts w:hint="eastAsia" w:ascii="黑体" w:hAnsi="黑体" w:cs="黑体"/>
          <w:b w:val="0"/>
          <w:bCs w:val="0"/>
          <w:sz w:val="28"/>
          <w:szCs w:val="28"/>
          <w:lang w:val="en-US" w:eastAsia="zh-CN"/>
        </w:rPr>
        <w:t>2.应收账款周转速度</w:t>
      </w:r>
      <w:bookmarkEnd w:id="64"/>
      <w:r>
        <w:rPr>
          <w:rFonts w:hint="eastAsia" w:ascii="黑体" w:hAnsi="黑体" w:cs="黑体"/>
          <w:b w:val="0"/>
          <w:bCs w:val="0"/>
          <w:sz w:val="28"/>
          <w:szCs w:val="28"/>
          <w:lang w:val="en-US" w:eastAsia="zh-CN"/>
        </w:rPr>
        <w:t>分析</w:t>
      </w:r>
    </w:p>
    <w:p>
      <w:pPr>
        <w:keepNext w:val="0"/>
        <w:keepLines w:val="0"/>
        <w:pageBreakBefore w:val="0"/>
        <w:widowControl/>
        <w:kinsoku/>
        <w:wordWrap/>
        <w:overflowPunct/>
        <w:topLinePunct w:val="0"/>
        <w:autoSpaceDE/>
        <w:autoSpaceDN/>
        <w:bidi w:val="0"/>
        <w:adjustRightInd/>
        <w:snapToGrid/>
        <w:spacing w:line="360" w:lineRule="auto"/>
        <w:ind w:left="0" w:leftChars="0" w:firstLine="472" w:firstLineChars="200"/>
        <w:textAlignment w:val="auto"/>
        <w:rPr>
          <w:rFonts w:hint="default" w:ascii="宋体" w:hAnsi="宋体" w:eastAsia="宋体" w:cs="宋体"/>
          <w:i w:val="0"/>
          <w:color w:val="000000"/>
          <w:spacing w:val="-2"/>
          <w:kern w:val="0"/>
          <w:sz w:val="21"/>
          <w:szCs w:val="21"/>
          <w:highlight w:val="none"/>
          <w:u w:val="none"/>
          <w:lang w:val="en-US" w:eastAsia="zh-CN" w:bidi="ar"/>
        </w:rPr>
      </w:pPr>
      <w:r>
        <w:rPr>
          <w:rFonts w:hint="eastAsia" w:ascii="宋体" w:hAnsi="宋体" w:cs="宋体"/>
          <w:sz w:val="24"/>
          <w:highlight w:val="none"/>
          <w:lang w:val="en-US" w:eastAsia="zh-CN"/>
        </w:rPr>
        <w:t>应收账款周转速度是企业由赊销出的金额转换为自身实际存款所需的时间，可通过衡量企业收回应收账款的时间，判断企业经营能力。一般来说，</w:t>
      </w:r>
      <w:r>
        <w:rPr>
          <w:rFonts w:hint="default" w:ascii="宋体" w:hAnsi="宋体" w:cs="宋体"/>
          <w:sz w:val="24"/>
          <w:highlight w:val="none"/>
          <w:lang w:val="en-US" w:eastAsia="zh-CN"/>
        </w:rPr>
        <w:t>应收款项周转天数</w:t>
      </w:r>
      <w:r>
        <w:rPr>
          <w:rFonts w:hint="eastAsia" w:ascii="宋体" w:hAnsi="宋体" w:cs="宋体"/>
          <w:sz w:val="24"/>
          <w:highlight w:val="none"/>
          <w:lang w:val="en-US" w:eastAsia="zh-CN"/>
        </w:rPr>
        <w:t>较短时</w:t>
      </w:r>
      <w:r>
        <w:rPr>
          <w:rFonts w:hint="default" w:ascii="宋体" w:hAnsi="宋体" w:cs="宋体"/>
          <w:sz w:val="24"/>
          <w:highlight w:val="none"/>
          <w:lang w:val="en-US" w:eastAsia="zh-CN"/>
        </w:rPr>
        <w:t>，资金使用效率</w:t>
      </w:r>
      <w:r>
        <w:rPr>
          <w:rFonts w:hint="eastAsia" w:ascii="宋体" w:hAnsi="宋体" w:cs="宋体"/>
          <w:sz w:val="24"/>
          <w:highlight w:val="none"/>
          <w:lang w:val="en-US" w:eastAsia="zh-CN"/>
        </w:rPr>
        <w:t>较</w:t>
      </w:r>
      <w:r>
        <w:rPr>
          <w:rFonts w:hint="default" w:ascii="宋体" w:hAnsi="宋体" w:cs="宋体"/>
          <w:sz w:val="24"/>
          <w:highlight w:val="none"/>
          <w:lang w:val="en-US" w:eastAsia="zh-CN"/>
        </w:rPr>
        <w:t>好</w:t>
      </w:r>
      <w:r>
        <w:rPr>
          <w:rFonts w:hint="eastAsia" w:ascii="宋体" w:hAnsi="宋体" w:cs="宋体"/>
          <w:sz w:val="24"/>
          <w:highlight w:val="none"/>
          <w:lang w:val="en-US" w:eastAsia="zh-CN"/>
        </w:rPr>
        <w:t>。同时，</w:t>
      </w:r>
      <w:r>
        <w:rPr>
          <w:rFonts w:hint="default" w:ascii="宋体" w:hAnsi="宋体" w:cs="宋体"/>
          <w:sz w:val="24"/>
          <w:highlight w:val="none"/>
          <w:lang w:val="en-US" w:eastAsia="zh-CN"/>
        </w:rPr>
        <w:t>它</w:t>
      </w:r>
      <w:r>
        <w:rPr>
          <w:rFonts w:hint="eastAsia" w:ascii="宋体" w:hAnsi="宋体" w:cs="宋体"/>
          <w:sz w:val="24"/>
          <w:highlight w:val="none"/>
          <w:lang w:val="en-US" w:eastAsia="zh-CN"/>
        </w:rPr>
        <w:t>还体现出企业</w:t>
      </w:r>
      <w:r>
        <w:rPr>
          <w:rFonts w:hint="default" w:ascii="宋体" w:hAnsi="宋体" w:cs="宋体"/>
          <w:sz w:val="24"/>
          <w:highlight w:val="none"/>
          <w:lang w:val="en-US" w:eastAsia="zh-CN"/>
        </w:rPr>
        <w:t>平均收款天数，</w:t>
      </w:r>
      <w:r>
        <w:rPr>
          <w:rFonts w:hint="eastAsia" w:ascii="宋体" w:hAnsi="宋体" w:cs="宋体"/>
          <w:sz w:val="24"/>
          <w:highlight w:val="none"/>
          <w:lang w:val="en-US" w:eastAsia="zh-CN"/>
        </w:rPr>
        <w:t>一般来说，天数越短，经营越好。立讯精密应收账款周转期如表</w:t>
      </w:r>
      <w:r>
        <w:rPr>
          <w:rFonts w:hint="default" w:ascii="Times New Roman" w:hAnsi="Times New Roman" w:cs="Times New Roman"/>
          <w:sz w:val="24"/>
          <w:highlight w:val="none"/>
          <w:lang w:val="en-US" w:eastAsia="zh-CN"/>
        </w:rPr>
        <w:t>3-4</w:t>
      </w:r>
      <w:r>
        <w:rPr>
          <w:rFonts w:hint="eastAsia" w:ascii="宋体" w:hAnsi="宋体" w:cs="宋体"/>
          <w:sz w:val="24"/>
          <w:highlight w:val="none"/>
          <w:lang w:val="en-US" w:eastAsia="zh-CN"/>
        </w:rPr>
        <w:t>所示：</w:t>
      </w:r>
    </w:p>
    <w:p>
      <w:pPr>
        <w:keepNext w:val="0"/>
        <w:keepLines w:val="0"/>
        <w:pageBreakBefore w:val="0"/>
        <w:widowControl/>
        <w:kinsoku/>
        <w:wordWrap/>
        <w:overflowPunct/>
        <w:topLinePunct w:val="0"/>
        <w:autoSpaceDE/>
        <w:autoSpaceDN/>
        <w:bidi w:val="0"/>
        <w:adjustRightInd/>
        <w:snapToGrid/>
        <w:spacing w:line="360" w:lineRule="auto"/>
        <w:ind w:left="0" w:leftChars="0" w:firstLine="472" w:firstLineChars="200"/>
        <w:textAlignment w:val="auto"/>
        <w:rPr>
          <w:rFonts w:hint="default" w:ascii="宋体" w:hAnsi="宋体" w:cs="宋体"/>
          <w:sz w:val="24"/>
          <w:highlight w:val="none"/>
          <w:lang w:val="en-US" w:eastAsia="zh-CN"/>
        </w:rPr>
      </w:pPr>
      <w:r>
        <w:rPr>
          <w:rFonts w:hint="eastAsia" w:ascii="宋体" w:hAnsi="宋体" w:cs="宋体"/>
          <w:sz w:val="24"/>
          <w:highlight w:val="none"/>
          <w:lang w:val="en-US" w:eastAsia="zh-CN"/>
        </w:rPr>
        <w:t>应收账款周转期 = 平均应收账款余额*</w:t>
      </w:r>
      <w:r>
        <w:rPr>
          <w:rFonts w:hint="default" w:ascii="Times New Roman" w:hAnsi="Times New Roman" w:cs="Times New Roman"/>
          <w:sz w:val="24"/>
          <w:highlight w:val="none"/>
          <w:lang w:val="en-US" w:eastAsia="zh-CN"/>
        </w:rPr>
        <w:t>365</w:t>
      </w:r>
      <w:r>
        <w:rPr>
          <w:rFonts w:hint="eastAsia" w:ascii="宋体" w:hAnsi="宋体" w:cs="宋体"/>
          <w:sz w:val="24"/>
          <w:highlight w:val="none"/>
          <w:lang w:val="en-US" w:eastAsia="zh-CN"/>
        </w:rPr>
        <w:t>/营业收入</w:t>
      </w:r>
    </w:p>
    <w:p>
      <w:pPr>
        <w:keepNext w:val="0"/>
        <w:keepLines w:val="0"/>
        <w:pageBreakBefore w:val="0"/>
        <w:widowControl/>
        <w:kinsoku/>
        <w:wordWrap/>
        <w:overflowPunct/>
        <w:topLinePunct w:val="0"/>
        <w:autoSpaceDE/>
        <w:autoSpaceDN/>
        <w:bidi w:val="0"/>
        <w:adjustRightInd/>
        <w:snapToGrid/>
        <w:spacing w:line="360" w:lineRule="auto"/>
        <w:ind w:firstLine="412" w:firstLineChars="200"/>
        <w:jc w:val="right"/>
        <w:textAlignment w:val="auto"/>
        <w:rPr>
          <w:rFonts w:hint="eastAsia" w:ascii="黑体" w:hAnsi="黑体" w:eastAsia="黑体" w:cs="黑体"/>
          <w:sz w:val="21"/>
          <w:szCs w:val="21"/>
          <w:highlight w:val="none"/>
        </w:rPr>
      </w:pPr>
      <w:r>
        <w:rPr>
          <w:rFonts w:hint="eastAsia" w:ascii="黑体" w:hAnsi="黑体" w:eastAsia="黑体" w:cs="黑体"/>
          <w:sz w:val="21"/>
          <w:szCs w:val="21"/>
          <w:highlight w:val="none"/>
        </w:rPr>
        <w:t>表 3-</w:t>
      </w:r>
      <w:r>
        <w:rPr>
          <w:rFonts w:hint="eastAsia" w:ascii="黑体" w:hAnsi="黑体" w:eastAsia="黑体" w:cs="黑体"/>
          <w:sz w:val="21"/>
          <w:szCs w:val="21"/>
          <w:highlight w:val="none"/>
          <w:lang w:val="en-US" w:eastAsia="zh-CN"/>
        </w:rPr>
        <w:t>4  立讯精密应收账款</w:t>
      </w:r>
      <w:r>
        <w:rPr>
          <w:rFonts w:hint="eastAsia" w:ascii="黑体" w:hAnsi="黑体" w:eastAsia="黑体" w:cs="黑体"/>
          <w:sz w:val="21"/>
          <w:szCs w:val="21"/>
          <w:highlight w:val="none"/>
        </w:rPr>
        <w:t>周转期</w:t>
      </w:r>
      <w:r>
        <w:rPr>
          <w:rFonts w:hint="eastAsia" w:ascii="黑体" w:hAnsi="黑体" w:eastAsia="黑体" w:cs="黑体"/>
          <w:sz w:val="21"/>
          <w:szCs w:val="21"/>
        </w:rPr>
        <w:t xml:space="preserve">           </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 xml:space="preserve">      </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单位：</w:t>
      </w:r>
      <w:r>
        <w:rPr>
          <w:rFonts w:hint="eastAsia" w:ascii="黑体" w:hAnsi="黑体" w:eastAsia="黑体" w:cs="黑体"/>
          <w:sz w:val="21"/>
          <w:szCs w:val="21"/>
          <w:lang w:val="en-US" w:eastAsia="zh-CN"/>
        </w:rPr>
        <w:t>万</w:t>
      </w:r>
      <w:r>
        <w:rPr>
          <w:rFonts w:hint="eastAsia" w:ascii="黑体" w:hAnsi="黑体" w:eastAsia="黑体" w:cs="黑体"/>
          <w:sz w:val="21"/>
          <w:szCs w:val="21"/>
        </w:rPr>
        <w:t>元</w:t>
      </w:r>
    </w:p>
    <w:tbl>
      <w:tblPr>
        <w:tblStyle w:val="26"/>
        <w:tblpPr w:leftFromText="180" w:rightFromText="180" w:vertAnchor="text" w:tblpXSpec="center" w:tblpY="1"/>
        <w:tblOverlap w:val="never"/>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5"/>
        <w:gridCol w:w="1444"/>
        <w:gridCol w:w="1444"/>
        <w:gridCol w:w="1444"/>
        <w:gridCol w:w="1444"/>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915" w:type="dxa"/>
            <w:tcBorders>
              <w:top w:val="single" w:color="auto" w:sz="12" w:space="0"/>
              <w:left w:val="nil"/>
              <w:bottom w:val="single" w:color="auto" w:sz="4" w:space="0"/>
              <w:right w:val="nil"/>
            </w:tcBorders>
          </w:tcPr>
          <w:p>
            <w:pPr>
              <w:spacing w:line="360" w:lineRule="auto"/>
              <w:ind w:left="0" w:leftChars="0" w:firstLine="0" w:firstLineChars="0"/>
              <w:jc w:val="center"/>
              <w:rPr>
                <w:rFonts w:hint="eastAsia"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项目</w:t>
            </w:r>
          </w:p>
        </w:tc>
        <w:tc>
          <w:tcPr>
            <w:tcW w:w="1444" w:type="dxa"/>
            <w:tcBorders>
              <w:top w:val="single" w:color="auto" w:sz="12" w:space="0"/>
              <w:left w:val="nil"/>
              <w:bottom w:val="single" w:color="auto" w:sz="4" w:space="0"/>
              <w:right w:val="nil"/>
            </w:tcBorders>
          </w:tcPr>
          <w:p>
            <w:pPr>
              <w:spacing w:line="360" w:lineRule="auto"/>
              <w:ind w:left="0" w:leftChars="0" w:firstLine="0" w:firstLineChars="0"/>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2015</w:t>
            </w:r>
          </w:p>
        </w:tc>
        <w:tc>
          <w:tcPr>
            <w:tcW w:w="1444" w:type="dxa"/>
            <w:tcBorders>
              <w:top w:val="single" w:color="auto" w:sz="12" w:space="0"/>
              <w:left w:val="nil"/>
              <w:bottom w:val="single" w:color="auto" w:sz="4" w:space="0"/>
              <w:right w:val="nil"/>
            </w:tcBorders>
          </w:tcPr>
          <w:p>
            <w:pPr>
              <w:spacing w:line="360" w:lineRule="auto"/>
              <w:ind w:left="0" w:leftChars="0" w:firstLine="0" w:firstLineChars="0"/>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2016</w:t>
            </w:r>
          </w:p>
        </w:tc>
        <w:tc>
          <w:tcPr>
            <w:tcW w:w="1444" w:type="dxa"/>
            <w:tcBorders>
              <w:top w:val="single" w:color="auto" w:sz="12" w:space="0"/>
              <w:left w:val="nil"/>
              <w:bottom w:val="single" w:color="auto" w:sz="4" w:space="0"/>
              <w:right w:val="nil"/>
            </w:tcBorders>
          </w:tcPr>
          <w:p>
            <w:pPr>
              <w:spacing w:line="360" w:lineRule="auto"/>
              <w:ind w:left="0" w:leftChars="0" w:firstLine="0" w:firstLineChars="0"/>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2017</w:t>
            </w:r>
          </w:p>
        </w:tc>
        <w:tc>
          <w:tcPr>
            <w:tcW w:w="1444" w:type="dxa"/>
            <w:tcBorders>
              <w:top w:val="single" w:color="auto" w:sz="12" w:space="0"/>
              <w:left w:val="nil"/>
              <w:bottom w:val="single" w:color="auto" w:sz="4" w:space="0"/>
              <w:right w:val="nil"/>
            </w:tcBorders>
          </w:tcPr>
          <w:p>
            <w:pPr>
              <w:spacing w:line="360" w:lineRule="auto"/>
              <w:ind w:left="0" w:leftChars="0" w:firstLine="0" w:firstLineChars="0"/>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2018</w:t>
            </w:r>
          </w:p>
        </w:tc>
        <w:tc>
          <w:tcPr>
            <w:tcW w:w="1444" w:type="dxa"/>
            <w:tcBorders>
              <w:top w:val="single" w:color="auto" w:sz="12" w:space="0"/>
              <w:left w:val="nil"/>
              <w:bottom w:val="single" w:color="auto" w:sz="4" w:space="0"/>
              <w:right w:val="nil"/>
            </w:tcBorders>
          </w:tcPr>
          <w:p>
            <w:pPr>
              <w:spacing w:line="360" w:lineRule="auto"/>
              <w:ind w:left="0" w:leftChars="0" w:firstLine="0" w:firstLineChars="0"/>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915"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营业收入</w:t>
            </w:r>
          </w:p>
        </w:tc>
        <w:tc>
          <w:tcPr>
            <w:tcW w:w="1444" w:type="dxa"/>
            <w:tcBorders>
              <w:top w:val="single" w:color="auto" w:sz="4" w:space="0"/>
              <w:left w:val="nil"/>
              <w:bottom w:val="nil"/>
              <w:right w:val="nil"/>
            </w:tcBorders>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1013949</w:t>
            </w:r>
            <w:r>
              <w:rPr>
                <w:rFonts w:hint="eastAsia" w:ascii="Times New Roman" w:hAnsi="Times New Roman" w:cs="Times New Roman"/>
                <w:sz w:val="21"/>
                <w:szCs w:val="21"/>
                <w:highlight w:val="none"/>
                <w:vertAlign w:val="baseline"/>
                <w:lang w:val="en-US" w:eastAsia="zh-CN"/>
              </w:rPr>
              <w:t>.</w:t>
            </w:r>
            <w:r>
              <w:rPr>
                <w:rFonts w:hint="default" w:ascii="Times New Roman" w:hAnsi="Times New Roman" w:eastAsia="宋体" w:cs="Times New Roman"/>
                <w:sz w:val="21"/>
                <w:szCs w:val="21"/>
                <w:highlight w:val="none"/>
                <w:vertAlign w:val="baseline"/>
                <w:lang w:val="en-US" w:eastAsia="zh-CN"/>
              </w:rPr>
              <w:t>24</w:t>
            </w:r>
          </w:p>
        </w:tc>
        <w:tc>
          <w:tcPr>
            <w:tcW w:w="1444" w:type="dxa"/>
            <w:tcBorders>
              <w:top w:val="single" w:color="auto" w:sz="4" w:space="0"/>
              <w:left w:val="nil"/>
              <w:bottom w:val="nil"/>
              <w:right w:val="nil"/>
            </w:tcBorders>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1376259</w:t>
            </w:r>
            <w:r>
              <w:rPr>
                <w:rFonts w:hint="eastAsia" w:ascii="Times New Roman" w:hAnsi="Times New Roman" w:cs="Times New Roman"/>
                <w:sz w:val="21"/>
                <w:szCs w:val="21"/>
                <w:highlight w:val="none"/>
                <w:vertAlign w:val="baseline"/>
                <w:lang w:val="en-US" w:eastAsia="zh-CN"/>
              </w:rPr>
              <w:t>.</w:t>
            </w:r>
            <w:r>
              <w:rPr>
                <w:rFonts w:hint="default" w:ascii="Times New Roman" w:hAnsi="Times New Roman" w:eastAsia="宋体" w:cs="Times New Roman"/>
                <w:sz w:val="21"/>
                <w:szCs w:val="21"/>
                <w:highlight w:val="none"/>
                <w:vertAlign w:val="baseline"/>
                <w:lang w:val="en-US" w:eastAsia="zh-CN"/>
              </w:rPr>
              <w:t>5</w:t>
            </w:r>
            <w:r>
              <w:rPr>
                <w:rFonts w:hint="eastAsia" w:ascii="Times New Roman" w:hAnsi="Times New Roman" w:cs="Times New Roman"/>
                <w:sz w:val="21"/>
                <w:szCs w:val="21"/>
                <w:highlight w:val="none"/>
                <w:vertAlign w:val="baseline"/>
                <w:lang w:val="en-US" w:eastAsia="zh-CN"/>
              </w:rPr>
              <w:t>9</w:t>
            </w:r>
          </w:p>
        </w:tc>
        <w:tc>
          <w:tcPr>
            <w:tcW w:w="1444" w:type="dxa"/>
            <w:tcBorders>
              <w:top w:val="single" w:color="auto" w:sz="4" w:space="0"/>
              <w:left w:val="nil"/>
              <w:bottom w:val="nil"/>
              <w:right w:val="nil"/>
            </w:tcBorders>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22,826,09</w:t>
            </w:r>
            <w:r>
              <w:rPr>
                <w:rFonts w:hint="eastAsia" w:ascii="Times New Roman" w:hAnsi="Times New Roman" w:cs="Times New Roman"/>
                <w:sz w:val="21"/>
                <w:szCs w:val="21"/>
                <w:highlight w:val="none"/>
                <w:vertAlign w:val="baseline"/>
                <w:lang w:val="en-US" w:eastAsia="zh-CN"/>
              </w:rPr>
              <w:t>.</w:t>
            </w:r>
            <w:r>
              <w:rPr>
                <w:rFonts w:hint="default" w:ascii="Times New Roman" w:hAnsi="Times New Roman" w:eastAsia="宋体" w:cs="Times New Roman"/>
                <w:sz w:val="21"/>
                <w:szCs w:val="21"/>
                <w:highlight w:val="none"/>
                <w:vertAlign w:val="baseline"/>
                <w:lang w:val="en-US" w:eastAsia="zh-CN"/>
              </w:rPr>
              <w:t>9</w:t>
            </w:r>
            <w:r>
              <w:rPr>
                <w:rFonts w:hint="eastAsia" w:ascii="Times New Roman" w:hAnsi="Times New Roman" w:cs="Times New Roman"/>
                <w:sz w:val="21"/>
                <w:szCs w:val="21"/>
                <w:highlight w:val="none"/>
                <w:vertAlign w:val="baseline"/>
                <w:lang w:val="en-US" w:eastAsia="zh-CN"/>
              </w:rPr>
              <w:t>8</w:t>
            </w:r>
          </w:p>
        </w:tc>
        <w:tc>
          <w:tcPr>
            <w:tcW w:w="1444" w:type="dxa"/>
            <w:tcBorders>
              <w:top w:val="single" w:color="auto" w:sz="4" w:space="0"/>
              <w:left w:val="nil"/>
              <w:bottom w:val="nil"/>
              <w:right w:val="nil"/>
            </w:tcBorders>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3584996</w:t>
            </w:r>
            <w:r>
              <w:rPr>
                <w:rFonts w:hint="eastAsia" w:ascii="Times New Roman" w:hAnsi="Times New Roman" w:cs="Times New Roman"/>
                <w:sz w:val="21"/>
                <w:szCs w:val="21"/>
                <w:highlight w:val="none"/>
                <w:vertAlign w:val="baseline"/>
                <w:lang w:val="en-US" w:eastAsia="zh-CN"/>
              </w:rPr>
              <w:t>.</w:t>
            </w:r>
            <w:r>
              <w:rPr>
                <w:rFonts w:hint="default" w:ascii="Times New Roman" w:hAnsi="Times New Roman" w:eastAsia="宋体" w:cs="Times New Roman"/>
                <w:sz w:val="21"/>
                <w:szCs w:val="21"/>
                <w:highlight w:val="none"/>
                <w:vertAlign w:val="baseline"/>
                <w:lang w:val="en-US" w:eastAsia="zh-CN"/>
              </w:rPr>
              <w:t>4</w:t>
            </w:r>
            <w:r>
              <w:rPr>
                <w:rFonts w:hint="eastAsia" w:ascii="Times New Roman" w:hAnsi="Times New Roman" w:cs="Times New Roman"/>
                <w:sz w:val="21"/>
                <w:szCs w:val="21"/>
                <w:highlight w:val="none"/>
                <w:vertAlign w:val="baseline"/>
                <w:lang w:val="en-US" w:eastAsia="zh-CN"/>
              </w:rPr>
              <w:t>2</w:t>
            </w:r>
          </w:p>
        </w:tc>
        <w:tc>
          <w:tcPr>
            <w:tcW w:w="1444" w:type="dxa"/>
            <w:tcBorders>
              <w:top w:val="single" w:color="auto" w:sz="4" w:space="0"/>
              <w:left w:val="nil"/>
              <w:bottom w:val="nil"/>
              <w:right w:val="nil"/>
            </w:tcBorders>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6251631</w:t>
            </w:r>
            <w:r>
              <w:rPr>
                <w:rFonts w:hint="eastAsia" w:ascii="Times New Roman" w:hAnsi="Times New Roman" w:cs="Times New Roman"/>
                <w:sz w:val="21"/>
                <w:szCs w:val="21"/>
                <w:highlight w:val="none"/>
                <w:vertAlign w:val="baseline"/>
                <w:lang w:val="en-US" w:eastAsia="zh-CN"/>
              </w:rPr>
              <w:t>.</w:t>
            </w:r>
            <w:r>
              <w:rPr>
                <w:rFonts w:hint="default" w:ascii="Times New Roman" w:hAnsi="Times New Roman" w:eastAsia="宋体" w:cs="Times New Roman"/>
                <w:sz w:val="21"/>
                <w:szCs w:val="21"/>
                <w:highlight w:val="none"/>
                <w:vertAlign w:val="baseline"/>
                <w:lang w:val="en-US" w:eastAsia="zh-CN"/>
              </w:rPr>
              <w:t>4</w:t>
            </w:r>
            <w:r>
              <w:rPr>
                <w:rFonts w:hint="eastAsia" w:ascii="Times New Roman" w:hAnsi="Times New Roman" w:cs="Times New Roman"/>
                <w:sz w:val="21"/>
                <w:szCs w:val="21"/>
                <w:highlight w:val="none"/>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915"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应收账款期初余额</w:t>
            </w:r>
          </w:p>
        </w:tc>
        <w:tc>
          <w:tcPr>
            <w:tcW w:w="1444"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224094</w:t>
            </w:r>
            <w:r>
              <w:rPr>
                <w:rFonts w:hint="eastAsia" w:ascii="Times New Roman" w:hAnsi="Times New Roman" w:eastAsia="宋体" w:cs="Times New Roman"/>
                <w:sz w:val="21"/>
                <w:szCs w:val="21"/>
                <w:highlight w:val="none"/>
                <w:vertAlign w:val="baseline"/>
                <w:lang w:val="en-US" w:eastAsia="zh-CN"/>
              </w:rPr>
              <w:t>.</w:t>
            </w:r>
            <w:r>
              <w:rPr>
                <w:rFonts w:hint="default" w:ascii="Times New Roman" w:hAnsi="Times New Roman" w:eastAsia="宋体" w:cs="Times New Roman"/>
                <w:sz w:val="21"/>
                <w:szCs w:val="21"/>
                <w:highlight w:val="none"/>
                <w:vertAlign w:val="baseline"/>
                <w:lang w:val="en-US" w:eastAsia="zh-CN"/>
              </w:rPr>
              <w:t>3</w:t>
            </w:r>
            <w:r>
              <w:rPr>
                <w:rFonts w:hint="eastAsia" w:ascii="Times New Roman" w:hAnsi="Times New Roman" w:eastAsia="宋体" w:cs="Times New Roman"/>
                <w:sz w:val="21"/>
                <w:szCs w:val="21"/>
                <w:highlight w:val="none"/>
                <w:vertAlign w:val="baseline"/>
                <w:lang w:val="en-US" w:eastAsia="zh-CN"/>
              </w:rPr>
              <w:t>3</w:t>
            </w:r>
          </w:p>
        </w:tc>
        <w:tc>
          <w:tcPr>
            <w:tcW w:w="1444"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290109</w:t>
            </w:r>
            <w:r>
              <w:rPr>
                <w:rFonts w:hint="eastAsia" w:ascii="Times New Roman" w:hAnsi="Times New Roman" w:eastAsia="宋体" w:cs="Times New Roman"/>
                <w:sz w:val="21"/>
                <w:szCs w:val="21"/>
                <w:highlight w:val="none"/>
                <w:vertAlign w:val="baseline"/>
                <w:lang w:val="en-US" w:eastAsia="zh-CN"/>
              </w:rPr>
              <w:t>.</w:t>
            </w:r>
            <w:r>
              <w:rPr>
                <w:rFonts w:hint="default" w:ascii="Times New Roman" w:hAnsi="Times New Roman" w:eastAsia="宋体" w:cs="Times New Roman"/>
                <w:sz w:val="21"/>
                <w:szCs w:val="21"/>
                <w:highlight w:val="none"/>
                <w:vertAlign w:val="baseline"/>
                <w:lang w:val="en-US" w:eastAsia="zh-CN"/>
              </w:rPr>
              <w:t>7</w:t>
            </w:r>
            <w:r>
              <w:rPr>
                <w:rFonts w:hint="eastAsia" w:ascii="Times New Roman" w:hAnsi="Times New Roman" w:eastAsia="宋体" w:cs="Times New Roman"/>
                <w:sz w:val="21"/>
                <w:szCs w:val="21"/>
                <w:highlight w:val="none"/>
                <w:vertAlign w:val="baseline"/>
                <w:lang w:val="en-US" w:eastAsia="zh-CN"/>
              </w:rPr>
              <w:t>3</w:t>
            </w:r>
          </w:p>
        </w:tc>
        <w:tc>
          <w:tcPr>
            <w:tcW w:w="1444"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472084</w:t>
            </w:r>
            <w:r>
              <w:rPr>
                <w:rFonts w:hint="eastAsia" w:ascii="Times New Roman" w:hAnsi="Times New Roman" w:eastAsia="宋体" w:cs="Times New Roman"/>
                <w:sz w:val="21"/>
                <w:szCs w:val="21"/>
                <w:highlight w:val="none"/>
                <w:vertAlign w:val="baseline"/>
                <w:lang w:val="en-US" w:eastAsia="zh-CN"/>
              </w:rPr>
              <w:t>.</w:t>
            </w:r>
            <w:r>
              <w:rPr>
                <w:rFonts w:hint="default" w:ascii="Times New Roman" w:hAnsi="Times New Roman" w:eastAsia="宋体" w:cs="Times New Roman"/>
                <w:sz w:val="21"/>
                <w:szCs w:val="21"/>
                <w:highlight w:val="none"/>
                <w:vertAlign w:val="baseline"/>
                <w:lang w:val="en-US" w:eastAsia="zh-CN"/>
              </w:rPr>
              <w:t>2</w:t>
            </w:r>
            <w:r>
              <w:rPr>
                <w:rFonts w:hint="eastAsia" w:ascii="Times New Roman" w:hAnsi="Times New Roman" w:eastAsia="宋体" w:cs="Times New Roman"/>
                <w:sz w:val="21"/>
                <w:szCs w:val="21"/>
                <w:highlight w:val="none"/>
                <w:vertAlign w:val="baseline"/>
                <w:lang w:val="en-US" w:eastAsia="zh-CN"/>
              </w:rPr>
              <w:t>8</w:t>
            </w:r>
          </w:p>
        </w:tc>
        <w:tc>
          <w:tcPr>
            <w:tcW w:w="1444"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708002</w:t>
            </w:r>
            <w:r>
              <w:rPr>
                <w:rFonts w:hint="eastAsia" w:ascii="Times New Roman" w:hAnsi="Times New Roman" w:eastAsia="宋体" w:cs="Times New Roman"/>
                <w:sz w:val="21"/>
                <w:szCs w:val="21"/>
                <w:highlight w:val="none"/>
                <w:vertAlign w:val="baseline"/>
                <w:lang w:val="en-US" w:eastAsia="zh-CN"/>
              </w:rPr>
              <w:t>.</w:t>
            </w:r>
            <w:r>
              <w:rPr>
                <w:rFonts w:hint="default" w:ascii="Times New Roman" w:hAnsi="Times New Roman" w:eastAsia="宋体" w:cs="Times New Roman"/>
                <w:sz w:val="21"/>
                <w:szCs w:val="21"/>
                <w:highlight w:val="none"/>
                <w:vertAlign w:val="baseline"/>
                <w:lang w:val="en-US" w:eastAsia="zh-CN"/>
              </w:rPr>
              <w:t>3</w:t>
            </w:r>
            <w:r>
              <w:rPr>
                <w:rFonts w:hint="eastAsia" w:ascii="Times New Roman" w:hAnsi="Times New Roman" w:eastAsia="宋体" w:cs="Times New Roman"/>
                <w:sz w:val="21"/>
                <w:szCs w:val="21"/>
                <w:highlight w:val="none"/>
                <w:vertAlign w:val="baseline"/>
                <w:lang w:val="en-US" w:eastAsia="zh-CN"/>
              </w:rPr>
              <w:t>7</w:t>
            </w:r>
          </w:p>
        </w:tc>
        <w:tc>
          <w:tcPr>
            <w:tcW w:w="1444"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1113100</w:t>
            </w:r>
            <w:r>
              <w:rPr>
                <w:rFonts w:hint="eastAsia" w:ascii="Times New Roman" w:hAnsi="Times New Roman" w:eastAsia="宋体" w:cs="Times New Roman"/>
                <w:sz w:val="21"/>
                <w:szCs w:val="21"/>
                <w:highlight w:val="none"/>
                <w:vertAlign w:val="baseline"/>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915"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应收账款期末余额</w:t>
            </w:r>
          </w:p>
        </w:tc>
        <w:tc>
          <w:tcPr>
            <w:tcW w:w="1444"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290109</w:t>
            </w:r>
            <w:r>
              <w:rPr>
                <w:rFonts w:hint="eastAsia" w:ascii="Times New Roman" w:hAnsi="Times New Roman" w:eastAsia="宋体" w:cs="Times New Roman"/>
                <w:sz w:val="21"/>
                <w:szCs w:val="21"/>
                <w:highlight w:val="none"/>
                <w:vertAlign w:val="baseline"/>
                <w:lang w:val="en-US" w:eastAsia="zh-CN"/>
              </w:rPr>
              <w:t>.</w:t>
            </w:r>
            <w:r>
              <w:rPr>
                <w:rFonts w:hint="default" w:ascii="Times New Roman" w:hAnsi="Times New Roman" w:eastAsia="宋体" w:cs="Times New Roman"/>
                <w:sz w:val="21"/>
                <w:szCs w:val="21"/>
                <w:highlight w:val="none"/>
                <w:vertAlign w:val="baseline"/>
                <w:lang w:val="en-US" w:eastAsia="zh-CN"/>
              </w:rPr>
              <w:t>7</w:t>
            </w:r>
            <w:r>
              <w:rPr>
                <w:rFonts w:hint="eastAsia" w:ascii="Times New Roman" w:hAnsi="Times New Roman" w:eastAsia="宋体" w:cs="Times New Roman"/>
                <w:sz w:val="21"/>
                <w:szCs w:val="21"/>
                <w:highlight w:val="none"/>
                <w:vertAlign w:val="baseline"/>
                <w:lang w:val="en-US" w:eastAsia="zh-CN"/>
              </w:rPr>
              <w:t>3</w:t>
            </w:r>
          </w:p>
        </w:tc>
        <w:tc>
          <w:tcPr>
            <w:tcW w:w="1444"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472084</w:t>
            </w:r>
            <w:r>
              <w:rPr>
                <w:rFonts w:hint="eastAsia" w:ascii="Times New Roman" w:hAnsi="Times New Roman" w:eastAsia="宋体" w:cs="Times New Roman"/>
                <w:sz w:val="21"/>
                <w:szCs w:val="21"/>
                <w:highlight w:val="none"/>
                <w:vertAlign w:val="baseline"/>
                <w:lang w:val="en-US" w:eastAsia="zh-CN"/>
              </w:rPr>
              <w:t>.</w:t>
            </w:r>
            <w:r>
              <w:rPr>
                <w:rFonts w:hint="default" w:ascii="Times New Roman" w:hAnsi="Times New Roman" w:eastAsia="宋体" w:cs="Times New Roman"/>
                <w:sz w:val="21"/>
                <w:szCs w:val="21"/>
                <w:highlight w:val="none"/>
                <w:vertAlign w:val="baseline"/>
                <w:lang w:val="en-US" w:eastAsia="zh-CN"/>
              </w:rPr>
              <w:t>28</w:t>
            </w:r>
          </w:p>
        </w:tc>
        <w:tc>
          <w:tcPr>
            <w:tcW w:w="1444"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708002</w:t>
            </w:r>
            <w:r>
              <w:rPr>
                <w:rFonts w:hint="eastAsia" w:ascii="Times New Roman" w:hAnsi="Times New Roman" w:eastAsia="宋体" w:cs="Times New Roman"/>
                <w:sz w:val="21"/>
                <w:szCs w:val="21"/>
                <w:highlight w:val="none"/>
                <w:vertAlign w:val="baseline"/>
                <w:lang w:val="en-US" w:eastAsia="zh-CN"/>
              </w:rPr>
              <w:t>.</w:t>
            </w:r>
            <w:r>
              <w:rPr>
                <w:rFonts w:hint="default" w:ascii="Times New Roman" w:hAnsi="Times New Roman" w:eastAsia="宋体" w:cs="Times New Roman"/>
                <w:sz w:val="21"/>
                <w:szCs w:val="21"/>
                <w:highlight w:val="none"/>
                <w:vertAlign w:val="baseline"/>
                <w:lang w:val="en-US" w:eastAsia="zh-CN"/>
              </w:rPr>
              <w:t>3</w:t>
            </w:r>
            <w:r>
              <w:rPr>
                <w:rFonts w:hint="eastAsia" w:ascii="Times New Roman" w:hAnsi="Times New Roman" w:eastAsia="宋体" w:cs="Times New Roman"/>
                <w:sz w:val="21"/>
                <w:szCs w:val="21"/>
                <w:highlight w:val="none"/>
                <w:vertAlign w:val="baseline"/>
                <w:lang w:val="en-US" w:eastAsia="zh-CN"/>
              </w:rPr>
              <w:t>7</w:t>
            </w:r>
          </w:p>
        </w:tc>
        <w:tc>
          <w:tcPr>
            <w:tcW w:w="1444"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1113100</w:t>
            </w:r>
            <w:r>
              <w:rPr>
                <w:rFonts w:hint="eastAsia" w:ascii="Times New Roman" w:hAnsi="Times New Roman" w:eastAsia="宋体" w:cs="Times New Roman"/>
                <w:sz w:val="21"/>
                <w:szCs w:val="21"/>
                <w:highlight w:val="none"/>
                <w:vertAlign w:val="baseline"/>
                <w:lang w:val="en-US" w:eastAsia="zh-CN"/>
              </w:rPr>
              <w:t>.</w:t>
            </w:r>
            <w:r>
              <w:rPr>
                <w:rFonts w:hint="default" w:ascii="Times New Roman" w:hAnsi="Times New Roman" w:eastAsia="宋体" w:cs="Times New Roman"/>
                <w:sz w:val="21"/>
                <w:szCs w:val="21"/>
                <w:highlight w:val="none"/>
                <w:vertAlign w:val="baseline"/>
                <w:lang w:val="en-US" w:eastAsia="zh-CN"/>
              </w:rPr>
              <w:t>3</w:t>
            </w:r>
            <w:r>
              <w:rPr>
                <w:rFonts w:hint="eastAsia" w:ascii="Times New Roman" w:hAnsi="Times New Roman" w:eastAsia="宋体" w:cs="Times New Roman"/>
                <w:sz w:val="21"/>
                <w:szCs w:val="21"/>
                <w:highlight w:val="none"/>
                <w:vertAlign w:val="baseline"/>
                <w:lang w:val="en-US" w:eastAsia="zh-CN"/>
              </w:rPr>
              <w:t>9</w:t>
            </w:r>
          </w:p>
        </w:tc>
        <w:tc>
          <w:tcPr>
            <w:tcW w:w="1444"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1324362</w:t>
            </w:r>
            <w:r>
              <w:rPr>
                <w:rFonts w:hint="eastAsia" w:ascii="Times New Roman" w:hAnsi="Times New Roman" w:eastAsia="宋体" w:cs="Times New Roman"/>
                <w:sz w:val="21"/>
                <w:szCs w:val="21"/>
                <w:highlight w:val="none"/>
                <w:vertAlign w:val="baseline"/>
                <w:lang w:val="en-US" w:eastAsia="zh-CN"/>
              </w:rPr>
              <w:t>.</w:t>
            </w:r>
            <w:r>
              <w:rPr>
                <w:rFonts w:hint="default" w:ascii="Times New Roman" w:hAnsi="Times New Roman" w:eastAsia="宋体" w:cs="Times New Roman"/>
                <w:sz w:val="21"/>
                <w:szCs w:val="21"/>
                <w:highlight w:val="none"/>
                <w:vertAlign w:val="baseline"/>
                <w:lang w:val="en-US" w:eastAsia="zh-CN"/>
              </w:rPr>
              <w:t>5</w:t>
            </w:r>
            <w:r>
              <w:rPr>
                <w:rFonts w:hint="eastAsia" w:ascii="Times New Roman" w:hAnsi="Times New Roman" w:eastAsia="宋体" w:cs="Times New Roman"/>
                <w:sz w:val="21"/>
                <w:szCs w:val="21"/>
                <w:highlight w:val="none"/>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915" w:type="dxa"/>
            <w:tcBorders>
              <w:top w:val="nil"/>
              <w:left w:val="nil"/>
              <w:bottom w:val="nil"/>
              <w:right w:val="nil"/>
            </w:tcBorders>
            <w:vAlign w:val="center"/>
          </w:tcPr>
          <w:p>
            <w:pPr>
              <w:keepNext w:val="0"/>
              <w:keepLines w:val="0"/>
              <w:pageBreakBefore w:val="0"/>
              <w:widowControl/>
              <w:tabs>
                <w:tab w:val="left" w:pos="421"/>
              </w:tabs>
              <w:kinsoku/>
              <w:wordWrap/>
              <w:overflowPunct/>
              <w:topLinePunct w:val="0"/>
              <w:autoSpaceDE/>
              <w:autoSpaceDN/>
              <w:bidi w:val="0"/>
              <w:adjustRightInd/>
              <w:snapToGrid/>
              <w:spacing w:line="360" w:lineRule="auto"/>
              <w:ind w:left="0" w:leftChars="0" w:firstLine="0" w:firstLineChars="0"/>
              <w:jc w:val="center"/>
              <w:rPr>
                <w:rFonts w:hint="default" w:ascii="宋体" w:hAnsi="宋体" w:eastAsia="宋体" w:cs="宋体"/>
                <w:sz w:val="21"/>
                <w:szCs w:val="21"/>
                <w:highlight w:val="none"/>
                <w:vertAlign w:val="baseline"/>
                <w:lang w:val="en-US" w:eastAsia="zh-CN"/>
              </w:rPr>
            </w:pPr>
            <w:r>
              <w:rPr>
                <w:rFonts w:hint="eastAsia" w:ascii="宋体" w:hAnsi="宋体" w:cs="宋体"/>
                <w:sz w:val="21"/>
                <w:szCs w:val="21"/>
                <w:highlight w:val="none"/>
                <w:vertAlign w:val="baseline"/>
                <w:lang w:val="en-US" w:eastAsia="zh-CN"/>
              </w:rPr>
              <w:t>应收账款平均余额</w:t>
            </w:r>
          </w:p>
        </w:tc>
        <w:tc>
          <w:tcPr>
            <w:tcW w:w="1444"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 xml:space="preserve">257102.03 </w:t>
            </w:r>
          </w:p>
        </w:tc>
        <w:tc>
          <w:tcPr>
            <w:tcW w:w="1444"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 xml:space="preserve">381097.01 </w:t>
            </w:r>
          </w:p>
        </w:tc>
        <w:tc>
          <w:tcPr>
            <w:tcW w:w="1444"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 xml:space="preserve">590043.32 </w:t>
            </w:r>
          </w:p>
        </w:tc>
        <w:tc>
          <w:tcPr>
            <w:tcW w:w="1444"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 xml:space="preserve">910551.38 </w:t>
            </w:r>
          </w:p>
        </w:tc>
        <w:tc>
          <w:tcPr>
            <w:tcW w:w="1444"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 xml:space="preserve">1218731.47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915" w:type="dxa"/>
            <w:tcBorders>
              <w:top w:val="nil"/>
              <w:left w:val="nil"/>
              <w:bottom w:val="single" w:color="auto" w:sz="12" w:space="0"/>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应收账款周转期</w:t>
            </w:r>
          </w:p>
        </w:tc>
        <w:tc>
          <w:tcPr>
            <w:tcW w:w="1444" w:type="dxa"/>
            <w:tcBorders>
              <w:top w:val="nil"/>
              <w:left w:val="nil"/>
              <w:bottom w:val="single" w:color="auto" w:sz="12" w:space="0"/>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94.2</w:t>
            </w:r>
          </w:p>
        </w:tc>
        <w:tc>
          <w:tcPr>
            <w:tcW w:w="1444" w:type="dxa"/>
            <w:tcBorders>
              <w:top w:val="nil"/>
              <w:left w:val="nil"/>
              <w:bottom w:val="single" w:color="auto" w:sz="12" w:space="0"/>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103.7</w:t>
            </w:r>
          </w:p>
        </w:tc>
        <w:tc>
          <w:tcPr>
            <w:tcW w:w="1444" w:type="dxa"/>
            <w:tcBorders>
              <w:top w:val="nil"/>
              <w:left w:val="nil"/>
              <w:bottom w:val="single" w:color="auto" w:sz="12" w:space="0"/>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96.6</w:t>
            </w:r>
          </w:p>
        </w:tc>
        <w:tc>
          <w:tcPr>
            <w:tcW w:w="1444" w:type="dxa"/>
            <w:tcBorders>
              <w:top w:val="nil"/>
              <w:left w:val="nil"/>
              <w:bottom w:val="single" w:color="auto" w:sz="12" w:space="0"/>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93.8</w:t>
            </w:r>
          </w:p>
        </w:tc>
        <w:tc>
          <w:tcPr>
            <w:tcW w:w="1444" w:type="dxa"/>
            <w:tcBorders>
              <w:top w:val="nil"/>
              <w:left w:val="nil"/>
              <w:bottom w:val="single" w:color="auto" w:sz="12" w:space="0"/>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71.6</w:t>
            </w:r>
          </w:p>
        </w:tc>
      </w:tr>
    </w:tbl>
    <w:p>
      <w:pPr>
        <w:keepNext w:val="0"/>
        <w:keepLines w:val="0"/>
        <w:pageBreakBefore w:val="0"/>
        <w:widowControl/>
        <w:kinsoku/>
        <w:wordWrap/>
        <w:overflowPunct/>
        <w:topLinePunct w:val="0"/>
        <w:autoSpaceDE/>
        <w:autoSpaceDN/>
        <w:bidi w:val="0"/>
        <w:adjustRightInd/>
        <w:snapToGrid/>
        <w:spacing w:line="360" w:lineRule="auto"/>
        <w:ind w:firstLine="352" w:firstLineChars="200"/>
        <w:textAlignment w:val="auto"/>
        <w:rPr>
          <w:rFonts w:hint="eastAsia" w:ascii="宋体" w:hAnsi="宋体" w:cs="宋体"/>
          <w:sz w:val="18"/>
          <w:szCs w:val="18"/>
          <w:highlight w:val="none"/>
          <w:lang w:val="en-US" w:eastAsia="zh-CN"/>
        </w:rPr>
      </w:pPr>
      <w:r>
        <w:rPr>
          <w:rFonts w:hint="eastAsia" w:ascii="宋体" w:hAnsi="宋体" w:eastAsia="宋体" w:cs="宋体"/>
          <w:sz w:val="18"/>
          <w:szCs w:val="18"/>
          <w:highlight w:val="none"/>
        </w:rPr>
        <w:t>资料来源：节选自</w:t>
      </w:r>
      <w:r>
        <w:rPr>
          <w:rFonts w:hint="eastAsia" w:ascii="宋体" w:hAnsi="宋体" w:cs="宋体"/>
          <w:sz w:val="18"/>
          <w:szCs w:val="18"/>
          <w:highlight w:val="none"/>
          <w:lang w:val="en-US" w:eastAsia="zh-CN"/>
        </w:rPr>
        <w:t>立讯精密2015—2019财务报表</w:t>
      </w:r>
    </w:p>
    <w:p>
      <w:pPr>
        <w:keepNext w:val="0"/>
        <w:keepLines w:val="0"/>
        <w:pageBreakBefore w:val="0"/>
        <w:widowControl/>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工业富联应收账款周转期如表</w:t>
      </w:r>
      <w:r>
        <w:rPr>
          <w:rFonts w:hint="default" w:ascii="Times New Roman" w:hAnsi="Times New Roman" w:cs="Times New Roman"/>
          <w:sz w:val="24"/>
          <w:highlight w:val="none"/>
          <w:lang w:val="en-US" w:eastAsia="zh-CN"/>
        </w:rPr>
        <w:t>3-5</w:t>
      </w:r>
      <w:r>
        <w:rPr>
          <w:rFonts w:hint="eastAsia" w:ascii="宋体" w:hAnsi="宋体" w:cs="宋体"/>
          <w:sz w:val="24"/>
          <w:highlight w:val="none"/>
          <w:lang w:val="en-US" w:eastAsia="zh-CN"/>
        </w:rPr>
        <w:t>所示：</w:t>
      </w:r>
    </w:p>
    <w:p>
      <w:pPr>
        <w:keepNext w:val="0"/>
        <w:keepLines w:val="0"/>
        <w:pageBreakBefore w:val="0"/>
        <w:widowControl/>
        <w:kinsoku/>
        <w:wordWrap/>
        <w:overflowPunct/>
        <w:topLinePunct w:val="0"/>
        <w:autoSpaceDE/>
        <w:autoSpaceDN/>
        <w:bidi w:val="0"/>
        <w:adjustRightInd/>
        <w:snapToGrid/>
        <w:spacing w:line="360" w:lineRule="auto"/>
        <w:ind w:firstLine="412" w:firstLineChars="200"/>
        <w:jc w:val="right"/>
        <w:textAlignment w:val="auto"/>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rPr>
        <w:t>表 3-</w:t>
      </w:r>
      <w:r>
        <w:rPr>
          <w:rFonts w:hint="eastAsia" w:ascii="黑体" w:hAnsi="黑体" w:eastAsia="黑体" w:cs="黑体"/>
          <w:sz w:val="21"/>
          <w:szCs w:val="21"/>
          <w:highlight w:val="none"/>
          <w:lang w:val="en-US" w:eastAsia="zh-CN"/>
        </w:rPr>
        <w:t>5  工业富联应收账款周转期</w:t>
      </w:r>
      <w:r>
        <w:rPr>
          <w:rFonts w:hint="eastAsia" w:ascii="黑体" w:hAnsi="黑体" w:eastAsia="黑体" w:cs="黑体"/>
          <w:sz w:val="21"/>
          <w:szCs w:val="21"/>
          <w:highlight w:val="none"/>
        </w:rPr>
        <w:t xml:space="preserve">                    </w:t>
      </w:r>
      <w:r>
        <w:rPr>
          <w:rFonts w:hint="eastAsia" w:ascii="黑体" w:hAnsi="黑体" w:eastAsia="黑体" w:cs="黑体"/>
          <w:sz w:val="21"/>
          <w:szCs w:val="21"/>
          <w:highlight w:val="none"/>
          <w:lang w:val="en-US" w:eastAsia="zh-CN"/>
        </w:rPr>
        <w:t xml:space="preserve">  </w:t>
      </w:r>
      <w:r>
        <w:rPr>
          <w:rFonts w:hint="eastAsia" w:ascii="黑体" w:hAnsi="黑体" w:eastAsia="黑体" w:cs="黑体"/>
          <w:sz w:val="21"/>
          <w:szCs w:val="21"/>
          <w:highlight w:val="none"/>
        </w:rPr>
        <w:t>单位：</w:t>
      </w:r>
      <w:r>
        <w:rPr>
          <w:rFonts w:hint="eastAsia" w:ascii="黑体" w:hAnsi="黑体" w:eastAsia="黑体" w:cs="黑体"/>
          <w:sz w:val="21"/>
          <w:szCs w:val="21"/>
          <w:highlight w:val="none"/>
          <w:lang w:val="en-US" w:eastAsia="zh-CN"/>
        </w:rPr>
        <w:t>天</w:t>
      </w:r>
    </w:p>
    <w:tbl>
      <w:tblPr>
        <w:tblStyle w:val="26"/>
        <w:tblW w:w="0" w:type="auto"/>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4"/>
        <w:gridCol w:w="1841"/>
        <w:gridCol w:w="1841"/>
        <w:gridCol w:w="1841"/>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774" w:type="dxa"/>
            <w:tcBorders>
              <w:top w:val="single" w:color="auto" w:sz="12" w:space="0"/>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cs="宋体"/>
                <w:sz w:val="24"/>
                <w:highlight w:val="none"/>
                <w:vertAlign w:val="baseline"/>
                <w:lang w:val="en-US" w:eastAsia="zh-CN"/>
              </w:rPr>
            </w:pPr>
            <w:r>
              <w:rPr>
                <w:rFonts w:hint="eastAsia" w:ascii="宋体" w:hAnsi="宋体" w:cs="宋体"/>
                <w:b/>
                <w:bCs/>
                <w:sz w:val="21"/>
                <w:szCs w:val="21"/>
                <w:highlight w:val="none"/>
                <w:vertAlign w:val="baseline"/>
                <w:lang w:val="en-US" w:eastAsia="zh-CN"/>
              </w:rPr>
              <w:t>项目</w:t>
            </w:r>
          </w:p>
        </w:tc>
        <w:tc>
          <w:tcPr>
            <w:tcW w:w="1841" w:type="dxa"/>
            <w:tcBorders>
              <w:top w:val="single" w:color="auto" w:sz="12" w:space="0"/>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cs="宋体"/>
                <w:sz w:val="24"/>
                <w:highlight w:val="none"/>
                <w:vertAlign w:val="baseline"/>
                <w:lang w:val="en-US" w:eastAsia="zh-CN"/>
              </w:rPr>
            </w:pPr>
            <w:r>
              <w:rPr>
                <w:rFonts w:hint="eastAsia" w:ascii="宋体" w:hAnsi="宋体" w:cs="宋体"/>
                <w:b/>
                <w:bCs/>
                <w:sz w:val="21"/>
                <w:szCs w:val="21"/>
                <w:highlight w:val="none"/>
                <w:vertAlign w:val="baseline"/>
                <w:lang w:val="en-US" w:eastAsia="zh-CN"/>
              </w:rPr>
              <w:t>2016</w:t>
            </w:r>
          </w:p>
        </w:tc>
        <w:tc>
          <w:tcPr>
            <w:tcW w:w="1841" w:type="dxa"/>
            <w:tcBorders>
              <w:top w:val="single" w:color="auto" w:sz="12" w:space="0"/>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cs="宋体"/>
                <w:sz w:val="24"/>
                <w:highlight w:val="none"/>
                <w:vertAlign w:val="baseline"/>
                <w:lang w:val="en-US" w:eastAsia="zh-CN"/>
              </w:rPr>
            </w:pPr>
            <w:r>
              <w:rPr>
                <w:rFonts w:hint="eastAsia" w:ascii="宋体" w:hAnsi="宋体" w:cs="宋体"/>
                <w:b/>
                <w:bCs/>
                <w:sz w:val="21"/>
                <w:szCs w:val="21"/>
                <w:highlight w:val="none"/>
                <w:vertAlign w:val="baseline"/>
                <w:lang w:val="en-US" w:eastAsia="zh-CN"/>
              </w:rPr>
              <w:t>2017</w:t>
            </w:r>
          </w:p>
        </w:tc>
        <w:tc>
          <w:tcPr>
            <w:tcW w:w="1841" w:type="dxa"/>
            <w:tcBorders>
              <w:top w:val="single" w:color="auto" w:sz="12" w:space="0"/>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cs="宋体"/>
                <w:sz w:val="24"/>
                <w:highlight w:val="none"/>
                <w:vertAlign w:val="baseline"/>
                <w:lang w:val="en-US" w:eastAsia="zh-CN"/>
              </w:rPr>
            </w:pPr>
            <w:r>
              <w:rPr>
                <w:rFonts w:hint="eastAsia" w:ascii="宋体" w:hAnsi="宋体" w:cs="宋体"/>
                <w:b/>
                <w:bCs/>
                <w:sz w:val="21"/>
                <w:szCs w:val="21"/>
                <w:highlight w:val="none"/>
                <w:vertAlign w:val="baseline"/>
                <w:lang w:val="en-US" w:eastAsia="zh-CN"/>
              </w:rPr>
              <w:t>2018</w:t>
            </w:r>
          </w:p>
        </w:tc>
        <w:tc>
          <w:tcPr>
            <w:tcW w:w="1842" w:type="dxa"/>
            <w:tcBorders>
              <w:top w:val="single" w:color="auto" w:sz="12" w:space="0"/>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cs="宋体"/>
                <w:sz w:val="24"/>
                <w:highlight w:val="none"/>
                <w:vertAlign w:val="baseline"/>
                <w:lang w:val="en-US" w:eastAsia="zh-CN"/>
              </w:rPr>
            </w:pPr>
            <w:r>
              <w:rPr>
                <w:rFonts w:hint="eastAsia" w:ascii="宋体" w:hAnsi="宋体" w:cs="宋体"/>
                <w:b/>
                <w:bCs/>
                <w:sz w:val="21"/>
                <w:szCs w:val="21"/>
                <w:highlight w:val="none"/>
                <w:vertAlign w:val="baseline"/>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774" w:type="dxa"/>
            <w:tcBorders>
              <w:top w:val="single" w:color="auto" w:sz="4" w:space="0"/>
              <w:left w:val="nil"/>
              <w:bottom w:val="single" w:color="auto" w:sz="12" w:space="0"/>
              <w:right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cs="宋体"/>
                <w:sz w:val="24"/>
                <w:highlight w:val="none"/>
                <w:vertAlign w:val="baseline"/>
                <w:lang w:val="en-US" w:eastAsia="zh-CN"/>
              </w:rPr>
            </w:pPr>
            <w:r>
              <w:rPr>
                <w:rFonts w:hint="eastAsia" w:ascii="宋体" w:hAnsi="宋体" w:cs="宋体"/>
                <w:sz w:val="21"/>
                <w:szCs w:val="21"/>
                <w:highlight w:val="none"/>
                <w:vertAlign w:val="baseline"/>
                <w:lang w:val="en-US" w:eastAsia="zh-CN"/>
              </w:rPr>
              <w:t>应收账款周转期</w:t>
            </w:r>
          </w:p>
        </w:tc>
        <w:tc>
          <w:tcPr>
            <w:tcW w:w="1841" w:type="dxa"/>
            <w:tcBorders>
              <w:top w:val="single" w:color="auto" w:sz="4" w:space="0"/>
              <w:left w:val="nil"/>
              <w:bottom w:val="single" w:color="auto" w:sz="12" w:space="0"/>
              <w:right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cs="宋体"/>
                <w:sz w:val="24"/>
                <w:highlight w:val="none"/>
                <w:vertAlign w:val="baseline"/>
                <w:lang w:val="en-US" w:eastAsia="zh-CN"/>
              </w:rPr>
            </w:pPr>
            <w:r>
              <w:rPr>
                <w:rFonts w:hint="eastAsia" w:ascii="Times New Roman" w:hAnsi="Times New Roman" w:cs="Times New Roman"/>
                <w:sz w:val="21"/>
                <w:szCs w:val="21"/>
                <w:highlight w:val="none"/>
                <w:vertAlign w:val="baseline"/>
                <w:lang w:val="en-US" w:eastAsia="zh-CN"/>
              </w:rPr>
              <w:t>68.0</w:t>
            </w:r>
          </w:p>
        </w:tc>
        <w:tc>
          <w:tcPr>
            <w:tcW w:w="1841" w:type="dxa"/>
            <w:tcBorders>
              <w:top w:val="single" w:color="auto" w:sz="4" w:space="0"/>
              <w:left w:val="nil"/>
              <w:bottom w:val="single" w:color="auto" w:sz="12" w:space="0"/>
              <w:right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cs="宋体"/>
                <w:sz w:val="24"/>
                <w:highlight w:val="none"/>
                <w:vertAlign w:val="baseline"/>
                <w:lang w:val="en-US" w:eastAsia="zh-CN"/>
              </w:rPr>
            </w:pPr>
            <w:r>
              <w:rPr>
                <w:rFonts w:hint="eastAsia" w:ascii="Times New Roman" w:hAnsi="Times New Roman" w:cs="Times New Roman"/>
                <w:sz w:val="21"/>
                <w:szCs w:val="21"/>
                <w:highlight w:val="none"/>
                <w:vertAlign w:val="baseline"/>
                <w:lang w:val="en-US" w:eastAsia="zh-CN"/>
              </w:rPr>
              <w:t>68.5</w:t>
            </w:r>
          </w:p>
        </w:tc>
        <w:tc>
          <w:tcPr>
            <w:tcW w:w="1841" w:type="dxa"/>
            <w:tcBorders>
              <w:top w:val="single" w:color="auto" w:sz="4" w:space="0"/>
              <w:left w:val="nil"/>
              <w:bottom w:val="single" w:color="auto" w:sz="12" w:space="0"/>
              <w:right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cs="宋体"/>
                <w:sz w:val="24"/>
                <w:highlight w:val="none"/>
                <w:vertAlign w:val="baseline"/>
                <w:lang w:val="en-US" w:eastAsia="zh-CN"/>
              </w:rPr>
            </w:pPr>
            <w:r>
              <w:rPr>
                <w:rFonts w:hint="eastAsia" w:ascii="Times New Roman" w:hAnsi="Times New Roman" w:cs="Times New Roman"/>
                <w:sz w:val="21"/>
                <w:szCs w:val="21"/>
                <w:highlight w:val="none"/>
                <w:vertAlign w:val="baseline"/>
                <w:lang w:val="en-US" w:eastAsia="zh-CN"/>
              </w:rPr>
              <w:t>72.3</w:t>
            </w:r>
          </w:p>
        </w:tc>
        <w:tc>
          <w:tcPr>
            <w:tcW w:w="1842" w:type="dxa"/>
            <w:tcBorders>
              <w:top w:val="single" w:color="auto" w:sz="4" w:space="0"/>
              <w:left w:val="nil"/>
              <w:bottom w:val="single" w:color="auto" w:sz="12" w:space="0"/>
              <w:right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cs="宋体"/>
                <w:sz w:val="24"/>
                <w:highlight w:val="none"/>
                <w:vertAlign w:val="baseline"/>
                <w:lang w:val="en-US" w:eastAsia="zh-CN"/>
              </w:rPr>
            </w:pPr>
            <w:r>
              <w:rPr>
                <w:rFonts w:hint="eastAsia" w:ascii="Times New Roman" w:hAnsi="Times New Roman" w:cs="Times New Roman"/>
                <w:sz w:val="21"/>
                <w:szCs w:val="21"/>
                <w:highlight w:val="none"/>
                <w:vertAlign w:val="baseline"/>
                <w:lang w:val="en-US" w:eastAsia="zh-CN"/>
              </w:rPr>
              <w:t>76.2</w:t>
            </w:r>
          </w:p>
        </w:tc>
      </w:tr>
    </w:tbl>
    <w:p>
      <w:pPr>
        <w:keepNext w:val="0"/>
        <w:keepLines w:val="0"/>
        <w:pageBreakBefore w:val="0"/>
        <w:widowControl/>
        <w:kinsoku/>
        <w:wordWrap/>
        <w:overflowPunct/>
        <w:topLinePunct w:val="0"/>
        <w:autoSpaceDE/>
        <w:autoSpaceDN/>
        <w:bidi w:val="0"/>
        <w:adjustRightInd/>
        <w:snapToGrid/>
        <w:spacing w:line="360" w:lineRule="auto"/>
        <w:ind w:left="0" w:leftChars="0" w:firstLine="352" w:firstLineChars="200"/>
        <w:jc w:val="both"/>
        <w:textAlignment w:val="auto"/>
        <w:rPr>
          <w:rFonts w:hint="eastAsia" w:ascii="宋体" w:hAnsi="宋体" w:cs="宋体"/>
          <w:sz w:val="18"/>
          <w:szCs w:val="18"/>
          <w:highlight w:val="none"/>
          <w:lang w:val="en-US" w:eastAsia="zh-CN"/>
        </w:rPr>
      </w:pPr>
      <w:r>
        <w:rPr>
          <w:rFonts w:hint="eastAsia" w:ascii="宋体" w:hAnsi="宋体" w:eastAsia="宋体" w:cs="宋体"/>
          <w:sz w:val="18"/>
          <w:szCs w:val="18"/>
          <w:highlight w:val="none"/>
        </w:rPr>
        <w:t>资料来源：</w:t>
      </w:r>
      <w:r>
        <w:rPr>
          <w:rFonts w:hint="eastAsia" w:ascii="宋体" w:hAnsi="宋体" w:cs="宋体"/>
          <w:sz w:val="18"/>
          <w:szCs w:val="18"/>
          <w:highlight w:val="none"/>
          <w:lang w:val="en-US" w:eastAsia="zh-CN"/>
        </w:rPr>
        <w:t>企业年报整理所得</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72" w:firstLineChars="200"/>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企业往往为了能够让销售量得到提升，在进行商品交易时不断扩充应收账款，向购买方提供商业信用，让商家或个人提前透支消费，在未来收取销售款项。该方法在应收账款信用政策上大大提高企业经济效益，但一味地扩大，同样存在很大风险，购买者很可能存在不遵守市场规则而导致发生坏账，并且，资金流转因外部资源的占用受到极大的限制，因此，合理的设置应收账款，在确保企业基本保障的情况下进行应收账款事项尤为重要。根据表格</w:t>
      </w:r>
      <w:r>
        <w:rPr>
          <w:rFonts w:hint="default" w:ascii="Times New Roman" w:hAnsi="Times New Roman" w:cs="Times New Roman"/>
          <w:sz w:val="24"/>
          <w:highlight w:val="none"/>
          <w:lang w:val="en-US" w:eastAsia="zh-CN"/>
        </w:rPr>
        <w:t>3-</w:t>
      </w:r>
      <w:r>
        <w:rPr>
          <w:rFonts w:hint="eastAsia" w:ascii="Times New Roman" w:hAnsi="Times New Roman" w:cs="Times New Roman"/>
          <w:sz w:val="24"/>
          <w:highlight w:val="none"/>
          <w:lang w:val="en-US" w:eastAsia="zh-CN"/>
        </w:rPr>
        <w:t>4</w:t>
      </w:r>
      <w:r>
        <w:rPr>
          <w:rFonts w:hint="default" w:ascii="宋体" w:hAnsi="宋体" w:cs="宋体"/>
          <w:sz w:val="24"/>
          <w:highlight w:val="none"/>
          <w:lang w:val="en-US" w:eastAsia="zh-CN"/>
        </w:rPr>
        <w:t>可以得知，</w:t>
      </w:r>
      <w:r>
        <w:rPr>
          <w:rFonts w:hint="eastAsia" w:ascii="宋体" w:hAnsi="宋体" w:cs="宋体"/>
          <w:sz w:val="24"/>
          <w:highlight w:val="none"/>
          <w:lang w:val="en-US" w:eastAsia="zh-CN"/>
        </w:rPr>
        <w:t>立讯精密在</w:t>
      </w:r>
      <w:r>
        <w:rPr>
          <w:rFonts w:hint="eastAsia" w:ascii="Times New Roman" w:hAnsi="Times New Roman" w:cs="Times New Roman"/>
          <w:sz w:val="24"/>
          <w:highlight w:val="none"/>
          <w:lang w:val="en-US" w:eastAsia="zh-CN"/>
        </w:rPr>
        <w:t>2015——2019</w:t>
      </w:r>
      <w:r>
        <w:rPr>
          <w:rFonts w:hint="eastAsia" w:ascii="宋体" w:hAnsi="宋体" w:cs="宋体"/>
          <w:sz w:val="24"/>
          <w:highlight w:val="none"/>
          <w:lang w:val="en-US" w:eastAsia="zh-CN"/>
        </w:rPr>
        <w:t>应收账款周转期变化为先上升后下降趋势，其中，</w:t>
      </w:r>
      <w:r>
        <w:rPr>
          <w:rFonts w:hint="eastAsia" w:ascii="Times New Roman" w:hAnsi="Times New Roman" w:cs="Times New Roman"/>
          <w:sz w:val="24"/>
          <w:highlight w:val="none"/>
          <w:lang w:val="en-US" w:eastAsia="zh-CN"/>
        </w:rPr>
        <w:t>2018</w:t>
      </w:r>
      <w:r>
        <w:rPr>
          <w:rFonts w:hint="eastAsia" w:ascii="宋体" w:hAnsi="宋体" w:cs="宋体"/>
          <w:sz w:val="24"/>
          <w:highlight w:val="none"/>
          <w:lang w:val="en-US" w:eastAsia="zh-CN"/>
        </w:rPr>
        <w:t>年到</w:t>
      </w:r>
      <w:r>
        <w:rPr>
          <w:rFonts w:hint="eastAsia" w:ascii="Times New Roman" w:hAnsi="Times New Roman" w:cs="Times New Roman"/>
          <w:sz w:val="24"/>
          <w:highlight w:val="none"/>
          <w:lang w:val="en-US" w:eastAsia="zh-CN"/>
        </w:rPr>
        <w:t>2019</w:t>
      </w:r>
      <w:r>
        <w:rPr>
          <w:rFonts w:hint="eastAsia" w:ascii="宋体" w:hAnsi="宋体" w:cs="宋体"/>
          <w:sz w:val="24"/>
          <w:highlight w:val="none"/>
          <w:lang w:val="en-US" w:eastAsia="zh-CN"/>
        </w:rPr>
        <w:t>年出现显著下降，从</w:t>
      </w:r>
      <w:r>
        <w:rPr>
          <w:rFonts w:hint="eastAsia" w:ascii="Times New Roman" w:hAnsi="Times New Roman" w:cs="Times New Roman"/>
          <w:sz w:val="24"/>
          <w:highlight w:val="none"/>
          <w:lang w:val="en-US" w:eastAsia="zh-CN"/>
        </w:rPr>
        <w:t>93.8</w:t>
      </w:r>
      <w:r>
        <w:rPr>
          <w:rFonts w:hint="eastAsia" w:ascii="宋体" w:hAnsi="宋体" w:cs="宋体"/>
          <w:sz w:val="24"/>
          <w:highlight w:val="none"/>
          <w:lang w:val="en-US" w:eastAsia="zh-CN"/>
        </w:rPr>
        <w:t>下降到</w:t>
      </w:r>
      <w:r>
        <w:rPr>
          <w:rFonts w:hint="eastAsia" w:ascii="Times New Roman" w:hAnsi="Times New Roman" w:cs="Times New Roman"/>
          <w:sz w:val="24"/>
          <w:highlight w:val="none"/>
          <w:lang w:val="en-US" w:eastAsia="zh-CN"/>
        </w:rPr>
        <w:t>71.6</w:t>
      </w:r>
      <w:r>
        <w:rPr>
          <w:rFonts w:hint="eastAsia" w:ascii="宋体" w:hAnsi="宋体" w:cs="宋体"/>
          <w:sz w:val="24"/>
          <w:highlight w:val="none"/>
          <w:lang w:val="en-US" w:eastAsia="zh-CN"/>
        </w:rPr>
        <w:t>，下降天数为</w:t>
      </w:r>
      <w:r>
        <w:rPr>
          <w:rFonts w:hint="eastAsia" w:ascii="Times New Roman" w:hAnsi="Times New Roman" w:cs="Times New Roman"/>
          <w:sz w:val="24"/>
          <w:highlight w:val="none"/>
          <w:lang w:val="en-US" w:eastAsia="zh-CN"/>
        </w:rPr>
        <w:t>22.2</w:t>
      </w:r>
      <w:r>
        <w:rPr>
          <w:rFonts w:hint="eastAsia" w:ascii="宋体" w:hAnsi="宋体" w:cs="宋体"/>
          <w:sz w:val="24"/>
          <w:highlight w:val="none"/>
          <w:lang w:val="en-US" w:eastAsia="zh-CN"/>
        </w:rPr>
        <w:t>天，比率为</w:t>
      </w:r>
      <w:r>
        <w:rPr>
          <w:rFonts w:hint="eastAsia" w:ascii="Times New Roman" w:hAnsi="Times New Roman" w:cs="Times New Roman"/>
          <w:sz w:val="24"/>
          <w:highlight w:val="none"/>
          <w:lang w:val="en-US" w:eastAsia="zh-CN"/>
        </w:rPr>
        <w:t>31.0%</w:t>
      </w:r>
      <w:r>
        <w:rPr>
          <w:rFonts w:hint="eastAsia" w:ascii="宋体" w:hAnsi="宋体" w:cs="宋体"/>
          <w:sz w:val="24"/>
          <w:highlight w:val="none"/>
          <w:lang w:val="en-US" w:eastAsia="zh-CN"/>
        </w:rPr>
        <w:t>。表明该企业意识到资金流转的重要性，并在应收账款周转期方面进行调控，通过不断加速回收、降低外部购买方的资金占用有效减少应收期限。相比于同一时期其他企业的应收账款周期，立讯精密的情况还不够稳定，仍存在较大变动的可能性，想要持续出现较好数据，还需企业进一步把控。</w:t>
      </w:r>
    </w:p>
    <w:p>
      <w:pPr>
        <w:pStyle w:val="5"/>
        <w:spacing w:before="0" w:after="0" w:line="360" w:lineRule="auto"/>
        <w:ind w:firstLine="552" w:firstLineChars="200"/>
        <w:rPr>
          <w:rFonts w:hint="eastAsia" w:ascii="黑体" w:hAnsi="黑体" w:cs="黑体"/>
          <w:b w:val="0"/>
          <w:bCs w:val="0"/>
          <w:sz w:val="28"/>
          <w:szCs w:val="28"/>
          <w:lang w:val="en-US" w:eastAsia="zh-CN"/>
        </w:rPr>
      </w:pPr>
      <w:bookmarkStart w:id="65" w:name="_Toc4902"/>
      <w:r>
        <w:rPr>
          <w:rFonts w:hint="eastAsia" w:ascii="黑体" w:hAnsi="黑体" w:cs="黑体"/>
          <w:b w:val="0"/>
          <w:bCs w:val="0"/>
          <w:sz w:val="28"/>
          <w:szCs w:val="28"/>
          <w:lang w:val="en-US" w:eastAsia="zh-CN"/>
        </w:rPr>
        <w:t>3.应付账款周转</w:t>
      </w:r>
      <w:bookmarkEnd w:id="65"/>
      <w:r>
        <w:rPr>
          <w:rFonts w:hint="eastAsia" w:ascii="黑体" w:hAnsi="黑体" w:cs="黑体"/>
          <w:b w:val="0"/>
          <w:bCs w:val="0"/>
          <w:sz w:val="28"/>
          <w:szCs w:val="28"/>
          <w:lang w:val="en-US" w:eastAsia="zh-CN"/>
        </w:rPr>
        <w:t>速度分析</w:t>
      </w:r>
    </w:p>
    <w:p>
      <w:pPr>
        <w:keepNext w:val="0"/>
        <w:keepLines w:val="0"/>
        <w:pageBreakBefore w:val="0"/>
        <w:widowControl/>
        <w:kinsoku/>
        <w:wordWrap/>
        <w:overflowPunct/>
        <w:topLinePunct w:val="0"/>
        <w:autoSpaceDE/>
        <w:autoSpaceDN/>
        <w:bidi w:val="0"/>
        <w:adjustRightInd/>
        <w:snapToGrid/>
        <w:spacing w:line="360" w:lineRule="auto"/>
        <w:ind w:left="0" w:leftChars="0" w:firstLine="472" w:firstLineChars="200"/>
        <w:textAlignment w:val="auto"/>
        <w:rPr>
          <w:rFonts w:hint="default" w:ascii="宋体" w:hAnsi="宋体" w:cs="宋体"/>
          <w:sz w:val="24"/>
          <w:highlight w:val="none"/>
          <w:lang w:val="en-US" w:eastAsia="zh-CN"/>
        </w:rPr>
      </w:pPr>
      <w:r>
        <w:rPr>
          <w:rFonts w:hint="eastAsia" w:ascii="宋体" w:hAnsi="宋体" w:cs="宋体"/>
          <w:sz w:val="24"/>
          <w:highlight w:val="none"/>
          <w:lang w:val="en-US" w:eastAsia="zh-CN"/>
        </w:rPr>
        <w:t>应付账款周转天数是权衡企业支付供应商款项的期限。一般来说，企业应付账款周转天数越长，对企业来说就越有利，因为企业占用的供应商资金可以用来填补营运资金，减少银行借款。通常能够有较大期限的企业，也说明市场地位较强，有较高的商业信誉。立讯精密应付账款周转期如表</w:t>
      </w:r>
      <w:r>
        <w:rPr>
          <w:rFonts w:hint="default" w:ascii="Times New Roman" w:hAnsi="Times New Roman" w:cs="Times New Roman"/>
          <w:sz w:val="24"/>
          <w:highlight w:val="none"/>
          <w:lang w:val="en-US" w:eastAsia="zh-CN"/>
        </w:rPr>
        <w:t>3-6</w:t>
      </w:r>
      <w:r>
        <w:rPr>
          <w:rFonts w:hint="eastAsia" w:ascii="宋体" w:hAnsi="宋体" w:cs="宋体"/>
          <w:sz w:val="24"/>
          <w:highlight w:val="none"/>
          <w:lang w:val="en-US" w:eastAsia="zh-CN"/>
        </w:rPr>
        <w:t>所示：</w:t>
      </w:r>
    </w:p>
    <w:p>
      <w:pPr>
        <w:keepNext w:val="0"/>
        <w:keepLines w:val="0"/>
        <w:pageBreakBefore w:val="0"/>
        <w:widowControl/>
        <w:kinsoku/>
        <w:wordWrap/>
        <w:overflowPunct/>
        <w:topLinePunct w:val="0"/>
        <w:autoSpaceDE/>
        <w:autoSpaceDN/>
        <w:bidi w:val="0"/>
        <w:adjustRightInd/>
        <w:snapToGrid/>
        <w:spacing w:line="360" w:lineRule="auto"/>
        <w:ind w:left="0" w:leftChars="0" w:firstLine="472" w:firstLineChars="200"/>
        <w:textAlignment w:val="auto"/>
        <w:rPr>
          <w:rFonts w:hint="default" w:ascii="宋体" w:hAnsi="宋体" w:cs="宋体"/>
          <w:sz w:val="24"/>
          <w:highlight w:val="none"/>
          <w:lang w:val="en-US" w:eastAsia="zh-CN"/>
        </w:rPr>
      </w:pPr>
      <w:r>
        <w:rPr>
          <w:rFonts w:hint="eastAsia" w:ascii="宋体" w:hAnsi="宋体" w:cs="宋体"/>
          <w:sz w:val="24"/>
          <w:highlight w:val="none"/>
          <w:lang w:val="en-US" w:eastAsia="zh-CN"/>
        </w:rPr>
        <w:t xml:space="preserve">应付账款周转期 = </w:t>
      </w:r>
      <w:r>
        <w:rPr>
          <w:rFonts w:hint="default" w:ascii="Times New Roman" w:hAnsi="Times New Roman" w:cs="Times New Roman"/>
          <w:sz w:val="24"/>
          <w:highlight w:val="none"/>
          <w:lang w:val="en-US" w:eastAsia="zh-CN"/>
        </w:rPr>
        <w:t>365</w:t>
      </w:r>
      <w:r>
        <w:rPr>
          <w:rFonts w:hint="eastAsia" w:ascii="宋体" w:hAnsi="宋体" w:cs="宋体"/>
          <w:sz w:val="24"/>
          <w:highlight w:val="none"/>
          <w:lang w:val="en-US" w:eastAsia="zh-CN"/>
        </w:rPr>
        <w:t>/(主营业务成本/平均应付账款余额）</w:t>
      </w:r>
    </w:p>
    <w:p>
      <w:pPr>
        <w:keepNext w:val="0"/>
        <w:keepLines w:val="0"/>
        <w:pageBreakBefore w:val="0"/>
        <w:widowControl/>
        <w:kinsoku/>
        <w:wordWrap/>
        <w:overflowPunct/>
        <w:topLinePunct w:val="0"/>
        <w:autoSpaceDE/>
        <w:autoSpaceDN/>
        <w:bidi w:val="0"/>
        <w:adjustRightInd/>
        <w:snapToGrid/>
        <w:spacing w:line="360" w:lineRule="auto"/>
        <w:ind w:firstLine="412" w:firstLineChars="200"/>
        <w:jc w:val="right"/>
        <w:textAlignment w:val="auto"/>
        <w:rPr>
          <w:rFonts w:hint="eastAsia" w:ascii="黑体" w:hAnsi="黑体" w:eastAsia="黑体" w:cs="黑体"/>
          <w:sz w:val="21"/>
          <w:szCs w:val="21"/>
          <w:highlight w:val="none"/>
        </w:rPr>
      </w:pPr>
      <w:r>
        <w:rPr>
          <w:rFonts w:hint="eastAsia" w:ascii="黑体" w:hAnsi="黑体" w:eastAsia="黑体" w:cs="黑体"/>
          <w:sz w:val="21"/>
          <w:szCs w:val="21"/>
          <w:highlight w:val="none"/>
        </w:rPr>
        <w:t>表 3-</w:t>
      </w:r>
      <w:r>
        <w:rPr>
          <w:rFonts w:hint="eastAsia" w:ascii="黑体" w:hAnsi="黑体" w:eastAsia="黑体" w:cs="黑体"/>
          <w:sz w:val="21"/>
          <w:szCs w:val="21"/>
          <w:highlight w:val="none"/>
          <w:lang w:val="en-US" w:eastAsia="zh-CN"/>
        </w:rPr>
        <w:t>6  应付账款</w:t>
      </w:r>
      <w:r>
        <w:rPr>
          <w:rFonts w:hint="eastAsia" w:ascii="黑体" w:hAnsi="黑体" w:eastAsia="黑体" w:cs="黑体"/>
          <w:sz w:val="21"/>
          <w:szCs w:val="21"/>
          <w:highlight w:val="none"/>
        </w:rPr>
        <w:t>周转期</w:t>
      </w:r>
      <w:r>
        <w:rPr>
          <w:rFonts w:hint="eastAsia" w:ascii="黑体" w:hAnsi="黑体" w:eastAsia="黑体" w:cs="黑体"/>
          <w:sz w:val="21"/>
          <w:szCs w:val="21"/>
        </w:rPr>
        <w:t xml:space="preserve">                       </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单位：</w:t>
      </w:r>
      <w:r>
        <w:rPr>
          <w:rFonts w:hint="eastAsia" w:ascii="黑体" w:hAnsi="黑体" w:eastAsia="黑体" w:cs="黑体"/>
          <w:sz w:val="21"/>
          <w:szCs w:val="21"/>
          <w:lang w:val="en-US" w:eastAsia="zh-CN"/>
        </w:rPr>
        <w:t>万</w:t>
      </w:r>
      <w:r>
        <w:rPr>
          <w:rFonts w:hint="eastAsia" w:ascii="黑体" w:hAnsi="黑体" w:eastAsia="黑体" w:cs="黑体"/>
          <w:sz w:val="21"/>
          <w:szCs w:val="21"/>
        </w:rPr>
        <w:t>元</w:t>
      </w:r>
    </w:p>
    <w:tbl>
      <w:tblPr>
        <w:tblStyle w:val="26"/>
        <w:tblpPr w:leftFromText="181" w:rightFromText="181" w:vertAnchor="text" w:tblpXSpec="center" w:tblpY="1"/>
        <w:tblOverlap w:val="never"/>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1425"/>
        <w:gridCol w:w="1425"/>
        <w:gridCol w:w="1425"/>
        <w:gridCol w:w="1425"/>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889" w:type="dxa"/>
            <w:tcBorders>
              <w:top w:val="single" w:color="auto" w:sz="12" w:space="0"/>
              <w:left w:val="nil"/>
              <w:bottom w:val="single" w:color="auto" w:sz="4" w:space="0"/>
              <w:right w:val="nil"/>
            </w:tcBorders>
            <w:vAlign w:val="center"/>
          </w:tcPr>
          <w:p>
            <w:pPr>
              <w:spacing w:line="360" w:lineRule="auto"/>
              <w:ind w:left="0" w:leftChars="0" w:firstLine="0" w:firstLineChars="0"/>
              <w:jc w:val="center"/>
              <w:rPr>
                <w:rFonts w:hint="eastAsia"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项目</w:t>
            </w:r>
          </w:p>
        </w:tc>
        <w:tc>
          <w:tcPr>
            <w:tcW w:w="1425" w:type="dxa"/>
            <w:tcBorders>
              <w:top w:val="single" w:color="auto" w:sz="12" w:space="0"/>
              <w:left w:val="nil"/>
              <w:bottom w:val="single" w:color="auto" w:sz="4" w:space="0"/>
              <w:right w:val="nil"/>
            </w:tcBorders>
            <w:vAlign w:val="center"/>
          </w:tcPr>
          <w:p>
            <w:pPr>
              <w:spacing w:line="360" w:lineRule="auto"/>
              <w:ind w:left="0" w:leftChars="0" w:firstLine="0" w:firstLineChars="0"/>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2015</w:t>
            </w:r>
          </w:p>
        </w:tc>
        <w:tc>
          <w:tcPr>
            <w:tcW w:w="1425" w:type="dxa"/>
            <w:tcBorders>
              <w:top w:val="single" w:color="auto" w:sz="12" w:space="0"/>
              <w:left w:val="nil"/>
              <w:bottom w:val="single" w:color="auto" w:sz="4" w:space="0"/>
              <w:right w:val="nil"/>
            </w:tcBorders>
            <w:vAlign w:val="center"/>
          </w:tcPr>
          <w:p>
            <w:pPr>
              <w:spacing w:line="360" w:lineRule="auto"/>
              <w:ind w:left="0" w:leftChars="0" w:firstLine="0" w:firstLineChars="0"/>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2016</w:t>
            </w:r>
          </w:p>
        </w:tc>
        <w:tc>
          <w:tcPr>
            <w:tcW w:w="1425" w:type="dxa"/>
            <w:tcBorders>
              <w:top w:val="single" w:color="auto" w:sz="12" w:space="0"/>
              <w:left w:val="nil"/>
              <w:bottom w:val="single" w:color="auto" w:sz="4" w:space="0"/>
              <w:right w:val="nil"/>
            </w:tcBorders>
            <w:vAlign w:val="center"/>
          </w:tcPr>
          <w:p>
            <w:pPr>
              <w:spacing w:line="360" w:lineRule="auto"/>
              <w:ind w:left="0" w:leftChars="0" w:firstLine="0" w:firstLineChars="0"/>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2017</w:t>
            </w:r>
          </w:p>
        </w:tc>
        <w:tc>
          <w:tcPr>
            <w:tcW w:w="1425" w:type="dxa"/>
            <w:tcBorders>
              <w:top w:val="single" w:color="auto" w:sz="12" w:space="0"/>
              <w:left w:val="nil"/>
              <w:bottom w:val="single" w:color="auto" w:sz="4" w:space="0"/>
              <w:right w:val="nil"/>
            </w:tcBorders>
            <w:vAlign w:val="center"/>
          </w:tcPr>
          <w:p>
            <w:pPr>
              <w:spacing w:line="360" w:lineRule="auto"/>
              <w:ind w:left="0" w:leftChars="0" w:firstLine="0" w:firstLineChars="0"/>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2018</w:t>
            </w:r>
          </w:p>
        </w:tc>
        <w:tc>
          <w:tcPr>
            <w:tcW w:w="1427" w:type="dxa"/>
            <w:tcBorders>
              <w:top w:val="single" w:color="auto" w:sz="12" w:space="0"/>
              <w:left w:val="nil"/>
              <w:bottom w:val="single" w:color="auto" w:sz="4" w:space="0"/>
              <w:right w:val="nil"/>
            </w:tcBorders>
            <w:vAlign w:val="center"/>
          </w:tcPr>
          <w:p>
            <w:pPr>
              <w:spacing w:line="360" w:lineRule="auto"/>
              <w:ind w:left="0" w:leftChars="0" w:firstLine="0" w:firstLineChars="0"/>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889"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主营业务成本</w:t>
            </w:r>
          </w:p>
        </w:tc>
        <w:tc>
          <w:tcPr>
            <w:tcW w:w="1425"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sz w:val="21"/>
                <w:szCs w:val="21"/>
                <w:highlight w:val="yellow"/>
                <w:vertAlign w:val="baseline"/>
                <w:lang w:val="en-US" w:eastAsia="zh-CN"/>
              </w:rPr>
            </w:pPr>
            <w:r>
              <w:rPr>
                <w:rFonts w:hint="default" w:ascii="Times New Roman" w:hAnsi="Times New Roman" w:eastAsia="宋体" w:cs="Times New Roman"/>
                <w:i w:val="0"/>
                <w:color w:val="000000"/>
                <w:spacing w:val="-2"/>
                <w:kern w:val="0"/>
                <w:sz w:val="21"/>
                <w:szCs w:val="21"/>
                <w:u w:val="none"/>
                <w:lang w:val="en-US" w:eastAsia="zh-CN" w:bidi="ar"/>
              </w:rPr>
              <w:t>781936.40</w:t>
            </w:r>
          </w:p>
        </w:tc>
        <w:tc>
          <w:tcPr>
            <w:tcW w:w="1425"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1080404.30 </w:t>
            </w:r>
          </w:p>
        </w:tc>
        <w:tc>
          <w:tcPr>
            <w:tcW w:w="1425"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1826030.97 </w:t>
            </w:r>
          </w:p>
        </w:tc>
        <w:tc>
          <w:tcPr>
            <w:tcW w:w="1425"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2830443.09 </w:t>
            </w:r>
          </w:p>
        </w:tc>
        <w:tc>
          <w:tcPr>
            <w:tcW w:w="1427"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5006783.00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88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应付账款期初余额</w:t>
            </w:r>
          </w:p>
        </w:tc>
        <w:tc>
          <w:tcPr>
            <w:tcW w:w="142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171069.44 </w:t>
            </w:r>
          </w:p>
        </w:tc>
        <w:tc>
          <w:tcPr>
            <w:tcW w:w="142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210992.49 </w:t>
            </w:r>
          </w:p>
        </w:tc>
        <w:tc>
          <w:tcPr>
            <w:tcW w:w="142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415406.58 </w:t>
            </w:r>
          </w:p>
        </w:tc>
        <w:tc>
          <w:tcPr>
            <w:tcW w:w="142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610276.77 </w:t>
            </w:r>
          </w:p>
        </w:tc>
        <w:tc>
          <w:tcPr>
            <w:tcW w:w="1427"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995533.09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88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应付账款期末余额</w:t>
            </w:r>
          </w:p>
        </w:tc>
        <w:tc>
          <w:tcPr>
            <w:tcW w:w="142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210992.49 </w:t>
            </w:r>
          </w:p>
        </w:tc>
        <w:tc>
          <w:tcPr>
            <w:tcW w:w="142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415406.58 </w:t>
            </w:r>
          </w:p>
        </w:tc>
        <w:tc>
          <w:tcPr>
            <w:tcW w:w="142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610276.77 </w:t>
            </w:r>
          </w:p>
        </w:tc>
        <w:tc>
          <w:tcPr>
            <w:tcW w:w="142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995533.09 </w:t>
            </w:r>
          </w:p>
        </w:tc>
        <w:tc>
          <w:tcPr>
            <w:tcW w:w="1427"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1726822.32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88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default" w:ascii="宋体" w:hAnsi="宋体" w:eastAsia="宋体" w:cs="宋体"/>
                <w:sz w:val="21"/>
                <w:szCs w:val="21"/>
                <w:highlight w:val="none"/>
                <w:vertAlign w:val="baseline"/>
                <w:lang w:val="en-US" w:eastAsia="zh-CN"/>
              </w:rPr>
            </w:pPr>
            <w:r>
              <w:rPr>
                <w:rFonts w:hint="eastAsia" w:ascii="宋体" w:hAnsi="宋体" w:cs="宋体"/>
                <w:sz w:val="21"/>
                <w:szCs w:val="21"/>
                <w:highlight w:val="none"/>
                <w:vertAlign w:val="baseline"/>
                <w:lang w:val="en-US" w:eastAsia="zh-CN"/>
              </w:rPr>
              <w:t>应付账款平均余额</w:t>
            </w:r>
          </w:p>
        </w:tc>
        <w:tc>
          <w:tcPr>
            <w:tcW w:w="142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191030.96 </w:t>
            </w:r>
          </w:p>
        </w:tc>
        <w:tc>
          <w:tcPr>
            <w:tcW w:w="142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313199.54 </w:t>
            </w:r>
          </w:p>
        </w:tc>
        <w:tc>
          <w:tcPr>
            <w:tcW w:w="142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512841.67 </w:t>
            </w:r>
          </w:p>
        </w:tc>
        <w:tc>
          <w:tcPr>
            <w:tcW w:w="142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802904.93 </w:t>
            </w:r>
          </w:p>
        </w:tc>
        <w:tc>
          <w:tcPr>
            <w:tcW w:w="1427"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1361177.70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889" w:type="dxa"/>
            <w:tcBorders>
              <w:top w:val="nil"/>
              <w:left w:val="nil"/>
              <w:bottom w:val="single" w:color="auto" w:sz="12" w:space="0"/>
              <w:right w:val="nil"/>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应付账款周转期</w:t>
            </w:r>
          </w:p>
        </w:tc>
        <w:tc>
          <w:tcPr>
            <w:tcW w:w="1425"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90.8</w:t>
            </w:r>
          </w:p>
        </w:tc>
        <w:tc>
          <w:tcPr>
            <w:tcW w:w="1425"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108.6</w:t>
            </w:r>
          </w:p>
        </w:tc>
        <w:tc>
          <w:tcPr>
            <w:tcW w:w="1425"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106.3</w:t>
            </w:r>
          </w:p>
        </w:tc>
        <w:tc>
          <w:tcPr>
            <w:tcW w:w="1425"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106.9</w:t>
            </w:r>
          </w:p>
        </w:tc>
        <w:tc>
          <w:tcPr>
            <w:tcW w:w="1427"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101.0</w:t>
            </w:r>
          </w:p>
        </w:tc>
      </w:tr>
    </w:tbl>
    <w:p>
      <w:pPr>
        <w:keepNext w:val="0"/>
        <w:keepLines w:val="0"/>
        <w:pageBreakBefore w:val="0"/>
        <w:widowControl/>
        <w:kinsoku/>
        <w:wordWrap/>
        <w:overflowPunct/>
        <w:topLinePunct w:val="0"/>
        <w:autoSpaceDE/>
        <w:autoSpaceDN/>
        <w:bidi w:val="0"/>
        <w:adjustRightInd/>
        <w:snapToGrid/>
        <w:spacing w:line="360" w:lineRule="auto"/>
        <w:ind w:firstLine="352" w:firstLineChars="200"/>
        <w:textAlignment w:val="auto"/>
      </w:pPr>
      <w:r>
        <w:rPr>
          <w:rFonts w:hint="eastAsia" w:ascii="宋体" w:hAnsi="宋体" w:eastAsia="宋体" w:cs="宋体"/>
          <w:sz w:val="18"/>
          <w:szCs w:val="18"/>
          <w:highlight w:val="none"/>
        </w:rPr>
        <w:t>资料来源：节选自</w:t>
      </w:r>
      <w:r>
        <w:rPr>
          <w:rFonts w:hint="eastAsia" w:ascii="宋体" w:hAnsi="宋体" w:cs="宋体"/>
          <w:sz w:val="18"/>
          <w:szCs w:val="18"/>
          <w:highlight w:val="none"/>
          <w:lang w:val="en-US" w:eastAsia="zh-CN"/>
        </w:rPr>
        <w:t>立讯精密2015—2019财务报表</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由表</w:t>
      </w:r>
      <w:r>
        <w:rPr>
          <w:rFonts w:hint="eastAsia" w:ascii="Times New Roman" w:hAnsi="Times New Roman" w:cs="Times New Roman"/>
          <w:sz w:val="24"/>
          <w:highlight w:val="none"/>
          <w:lang w:val="en-US" w:eastAsia="zh-CN"/>
        </w:rPr>
        <w:t>3-6</w:t>
      </w:r>
      <w:r>
        <w:rPr>
          <w:rFonts w:hint="eastAsia" w:ascii="宋体" w:hAnsi="宋体" w:cs="宋体"/>
          <w:sz w:val="24"/>
          <w:highlight w:val="none"/>
          <w:lang w:val="en-US" w:eastAsia="zh-CN"/>
        </w:rPr>
        <w:t>可知，立讯精密在近五年的数据中显示，企业应付账款期限规模不断扩充，应付账款资金规律化管理，体现出立讯精密企业信用良好，与供应制造厂商有着较为稳定的联系。然而，随着立讯精密规模的不断发展，处于市场较为领先的地位，企业获得更多的市场交易话语权，然而，应付账款周转期的提升，应合理进行规划，不然将会影响企业信誉，不能全面提高企业经济。</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val="0"/>
        <w:snapToGrid w:val="0"/>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立讯精密在进行营运资金管理时，基于要素的方式，仅仅对单个项目进行关注，财务指标限制较大，对存在的资金项目状况不能充分了解，无法真正对整体业务进行分析，发现其中问题。如果将企业账务与实际经营情况相结合，这样的分析就相对全面了。因此，以下将从基于渠道的角度对其进行分析，充分了解企业在实际业务中的资金状况。</w:t>
      </w:r>
    </w:p>
    <w:p>
      <w:pPr>
        <w:keepNext w:val="0"/>
        <w:keepLines w:val="0"/>
        <w:pageBreakBefore w:val="0"/>
        <w:widowControl/>
        <w:tabs>
          <w:tab w:val="left" w:pos="8568"/>
          <w:tab w:val="center" w:pos="8640"/>
        </w:tabs>
        <w:kinsoku/>
        <w:wordWrap/>
        <w:overflowPunct/>
        <w:topLinePunct w:val="0"/>
        <w:autoSpaceDE/>
        <w:autoSpaceDN/>
        <w:bidi w:val="0"/>
        <w:adjustRightInd/>
        <w:snapToGrid w:val="0"/>
        <w:spacing w:line="360" w:lineRule="auto"/>
        <w:ind w:left="0" w:leftChars="0" w:firstLine="592" w:firstLineChars="200"/>
        <w:jc w:val="both"/>
        <w:textAlignment w:val="auto"/>
        <w:outlineLvl w:val="1"/>
        <w:rPr>
          <w:rFonts w:hint="eastAsia" w:ascii="宋体" w:hAnsi="宋体" w:cs="宋体"/>
        </w:rPr>
      </w:pPr>
      <w:bookmarkStart w:id="66" w:name="_Toc23403"/>
      <w:r>
        <w:rPr>
          <w:rFonts w:hint="eastAsia" w:ascii="黑体" w:hAnsi="黑体" w:eastAsia="黑体" w:cs="黑体"/>
          <w:sz w:val="30"/>
          <w:szCs w:val="30"/>
          <w:highlight w:val="none"/>
          <w:lang w:val="en-US" w:eastAsia="zh-CN"/>
        </w:rPr>
        <w:t>（三）</w:t>
      </w:r>
      <w:r>
        <w:rPr>
          <w:rFonts w:hint="eastAsia" w:ascii="黑体" w:hAnsi="黑体" w:eastAsia="黑体" w:cs="黑体"/>
          <w:b w:val="0"/>
          <w:bCs w:val="0"/>
          <w:sz w:val="30"/>
          <w:szCs w:val="30"/>
          <w:lang w:val="en-US" w:eastAsia="zh-CN"/>
        </w:rPr>
        <w:t>基于渠道的营运资金管理现状分析</w:t>
      </w:r>
      <w:bookmarkEnd w:id="66"/>
    </w:p>
    <w:p>
      <w:pPr>
        <w:pStyle w:val="5"/>
        <w:keepNext w:val="0"/>
        <w:keepLines w:val="0"/>
        <w:pageBreakBefore w:val="0"/>
        <w:widowControl/>
        <w:numPr>
          <w:ilvl w:val="0"/>
          <w:numId w:val="0"/>
        </w:numPr>
        <w:kinsoku/>
        <w:wordWrap/>
        <w:overflowPunct/>
        <w:topLinePunct w:val="0"/>
        <w:autoSpaceDE/>
        <w:autoSpaceDN/>
        <w:bidi w:val="0"/>
        <w:adjustRightInd/>
        <w:snapToGrid w:val="0"/>
        <w:spacing w:before="0" w:after="0" w:line="360" w:lineRule="auto"/>
        <w:ind w:firstLine="552" w:firstLineChars="200"/>
        <w:textAlignment w:val="auto"/>
        <w:rPr>
          <w:rFonts w:hint="eastAsia"/>
          <w:lang w:val="en-US" w:eastAsia="zh-CN"/>
        </w:rPr>
      </w:pPr>
      <w:bookmarkStart w:id="67" w:name="_Toc23212"/>
      <w:r>
        <w:rPr>
          <w:rFonts w:hint="eastAsia" w:ascii="黑体" w:hAnsi="黑体" w:cs="黑体"/>
          <w:b w:val="0"/>
          <w:bCs w:val="0"/>
          <w:sz w:val="28"/>
          <w:szCs w:val="28"/>
          <w:lang w:val="en-US" w:eastAsia="zh-CN"/>
        </w:rPr>
        <w:t>1.</w:t>
      </w:r>
      <w:r>
        <w:rPr>
          <w:rFonts w:hint="eastAsia" w:ascii="黑体" w:hAnsi="黑体" w:eastAsia="黑体" w:cs="黑体"/>
          <w:b w:val="0"/>
          <w:bCs w:val="0"/>
          <w:sz w:val="28"/>
          <w:szCs w:val="28"/>
          <w:lang w:val="en-US" w:eastAsia="zh-CN"/>
        </w:rPr>
        <w:t>采购渠道营运资金管理分析</w:t>
      </w:r>
      <w:bookmarkEnd w:id="67"/>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采购环节是营运资金的起始，也是企业进行生产经营的基础，采购环节中，会进行原材料的购买、预付款项、应付款项的生成。这也是营运资金以及周转期的重要组成，计算结果如表</w:t>
      </w:r>
      <w:r>
        <w:rPr>
          <w:rFonts w:hint="default" w:ascii="Times New Roman" w:hAnsi="Times New Roman" w:cs="Times New Roman"/>
          <w:sz w:val="24"/>
          <w:highlight w:val="none"/>
          <w:lang w:val="en-US" w:eastAsia="zh-CN"/>
        </w:rPr>
        <w:t>3-7</w:t>
      </w:r>
      <w:r>
        <w:rPr>
          <w:rFonts w:hint="eastAsia" w:ascii="宋体" w:hAnsi="宋体" w:cs="宋体"/>
          <w:sz w:val="24"/>
          <w:highlight w:val="none"/>
          <w:lang w:val="en-US" w:eastAsia="zh-CN"/>
        </w:rPr>
        <w:t>：</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采购渠道营运资金 = 材料存货+预付账款-应付账款-应付票据</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采购渠道营运资金周转期 = 采购渠道营运资金/(材料消耗总额/</w:t>
      </w:r>
      <w:r>
        <w:rPr>
          <w:rFonts w:hint="eastAsia" w:ascii="Times New Roman" w:hAnsi="Times New Roman" w:cs="Times New Roman"/>
          <w:sz w:val="24"/>
          <w:highlight w:val="none"/>
          <w:lang w:val="en-US" w:eastAsia="zh-CN"/>
        </w:rPr>
        <w:t>365</w:t>
      </w:r>
      <w:r>
        <w:rPr>
          <w:rFonts w:hint="eastAsia" w:ascii="宋体" w:hAnsi="宋体" w:cs="宋体"/>
          <w:sz w:val="24"/>
          <w:highlight w:val="none"/>
          <w:lang w:val="en-US" w:eastAsia="zh-CN"/>
        </w:rPr>
        <w:t>)</w:t>
      </w:r>
    </w:p>
    <w:p>
      <w:pPr>
        <w:pStyle w:val="22"/>
        <w:shd w:val="clear" w:color="auto" w:fill="FFFFFF"/>
        <w:spacing w:line="360" w:lineRule="auto"/>
        <w:ind w:firstLine="420" w:firstLineChars="200"/>
        <w:jc w:val="right"/>
      </w:pPr>
      <w:r>
        <w:rPr>
          <w:rFonts w:hint="eastAsia" w:ascii="黑体" w:hAnsi="黑体" w:eastAsia="黑体" w:cs="黑体"/>
          <w:sz w:val="21"/>
          <w:szCs w:val="21"/>
          <w:highlight w:val="none"/>
        </w:rPr>
        <w:t>表 3-</w:t>
      </w:r>
      <w:r>
        <w:rPr>
          <w:rFonts w:hint="eastAsia" w:ascii="黑体" w:hAnsi="黑体" w:eastAsia="黑体" w:cs="黑体"/>
          <w:sz w:val="21"/>
          <w:szCs w:val="21"/>
          <w:highlight w:val="none"/>
          <w:lang w:val="en-US" w:eastAsia="zh-CN"/>
        </w:rPr>
        <w:t xml:space="preserve">7  </w:t>
      </w:r>
      <w:r>
        <w:rPr>
          <w:rFonts w:hint="eastAsia" w:ascii="黑体" w:hAnsi="黑体" w:eastAsia="黑体" w:cs="黑体"/>
          <w:sz w:val="21"/>
          <w:szCs w:val="21"/>
          <w:lang w:val="en-US" w:eastAsia="zh-CN"/>
        </w:rPr>
        <w:t>采购渠道占用的营运资金</w:t>
      </w:r>
      <w:r>
        <w:rPr>
          <w:rFonts w:hint="eastAsia" w:ascii="黑体" w:hAnsi="黑体" w:eastAsia="黑体" w:cs="黑体"/>
          <w:sz w:val="21"/>
          <w:szCs w:val="21"/>
        </w:rPr>
        <w:t xml:space="preserve">                    单位：</w:t>
      </w:r>
      <w:r>
        <w:rPr>
          <w:rFonts w:hint="eastAsia" w:ascii="黑体" w:hAnsi="黑体" w:eastAsia="黑体" w:cs="黑体"/>
          <w:sz w:val="21"/>
          <w:szCs w:val="21"/>
          <w:lang w:val="en-US" w:eastAsia="zh-CN"/>
        </w:rPr>
        <w:t>万</w:t>
      </w:r>
      <w:r>
        <w:rPr>
          <w:rFonts w:hint="eastAsia" w:ascii="黑体" w:hAnsi="黑体" w:eastAsia="黑体" w:cs="黑体"/>
          <w:sz w:val="21"/>
          <w:szCs w:val="21"/>
        </w:rPr>
        <w:t>元</w:t>
      </w:r>
    </w:p>
    <w:tbl>
      <w:tblPr>
        <w:tblStyle w:val="25"/>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5"/>
        <w:gridCol w:w="1444"/>
        <w:gridCol w:w="1444"/>
        <w:gridCol w:w="1444"/>
        <w:gridCol w:w="1444"/>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915" w:type="dxa"/>
            <w:tcBorders>
              <w:top w:val="single" w:color="auto" w:sz="12" w:space="0"/>
              <w:left w:val="nil"/>
              <w:bottom w:val="single" w:color="auto" w:sz="4" w:space="0"/>
              <w:right w:val="nil"/>
            </w:tcBorders>
            <w:vAlign w:val="top"/>
          </w:tcPr>
          <w:p>
            <w:pPr>
              <w:ind w:firstLine="0" w:firstLineChars="0"/>
              <w:jc w:val="center"/>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项目</w:t>
            </w:r>
          </w:p>
        </w:tc>
        <w:tc>
          <w:tcPr>
            <w:tcW w:w="1444" w:type="dxa"/>
            <w:tcBorders>
              <w:top w:val="single" w:color="auto" w:sz="12" w:space="0"/>
              <w:left w:val="nil"/>
              <w:bottom w:val="single" w:color="auto" w:sz="4" w:space="0"/>
              <w:right w:val="nil"/>
            </w:tcBorders>
            <w:vAlign w:val="top"/>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2015</w:t>
            </w:r>
          </w:p>
        </w:tc>
        <w:tc>
          <w:tcPr>
            <w:tcW w:w="1444" w:type="dxa"/>
            <w:tcBorders>
              <w:top w:val="single" w:color="auto" w:sz="12" w:space="0"/>
              <w:left w:val="nil"/>
              <w:bottom w:val="single" w:color="auto" w:sz="4" w:space="0"/>
              <w:right w:val="nil"/>
            </w:tcBorders>
            <w:vAlign w:val="top"/>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2016</w:t>
            </w:r>
          </w:p>
        </w:tc>
        <w:tc>
          <w:tcPr>
            <w:tcW w:w="1444" w:type="dxa"/>
            <w:tcBorders>
              <w:top w:val="single" w:color="auto" w:sz="12" w:space="0"/>
              <w:left w:val="nil"/>
              <w:bottom w:val="single" w:color="auto" w:sz="4" w:space="0"/>
              <w:right w:val="nil"/>
            </w:tcBorders>
            <w:vAlign w:val="top"/>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2017</w:t>
            </w:r>
          </w:p>
        </w:tc>
        <w:tc>
          <w:tcPr>
            <w:tcW w:w="1444" w:type="dxa"/>
            <w:tcBorders>
              <w:top w:val="single" w:color="auto" w:sz="12" w:space="0"/>
              <w:left w:val="nil"/>
              <w:bottom w:val="single" w:color="auto" w:sz="4" w:space="0"/>
              <w:right w:val="nil"/>
            </w:tcBorders>
            <w:vAlign w:val="top"/>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2018</w:t>
            </w:r>
          </w:p>
        </w:tc>
        <w:tc>
          <w:tcPr>
            <w:tcW w:w="1444" w:type="dxa"/>
            <w:tcBorders>
              <w:top w:val="single" w:color="auto" w:sz="12" w:space="0"/>
              <w:left w:val="nil"/>
              <w:bottom w:val="single" w:color="auto" w:sz="4" w:space="0"/>
              <w:right w:val="nil"/>
            </w:tcBorders>
            <w:vAlign w:val="top"/>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915" w:type="dxa"/>
            <w:tcBorders>
              <w:top w:val="single" w:color="auto" w:sz="4" w:space="0"/>
              <w:left w:val="nil"/>
              <w:bottom w:val="nil"/>
              <w:right w:val="nil"/>
            </w:tcBorders>
            <w:vAlign w:val="center"/>
          </w:tcPr>
          <w:p>
            <w:pPr>
              <w:ind w:firstLine="0" w:firstLineChars="0"/>
              <w:jc w:val="center"/>
              <w:rPr>
                <w:rFonts w:hint="eastAsia" w:ascii="Times New Roman" w:hAnsi="Times New Roman" w:eastAsia="宋体" w:cs="Times New Roman"/>
                <w:sz w:val="21"/>
                <w:szCs w:val="21"/>
                <w:lang w:eastAsia="zh-CN"/>
              </w:rPr>
            </w:pPr>
            <w:r>
              <w:rPr>
                <w:rFonts w:hint="eastAsia" w:ascii="Times New Roman" w:hAnsi="Times New Roman" w:cs="Times New Roman"/>
                <w:sz w:val="21"/>
                <w:szCs w:val="21"/>
                <w:lang w:val="en-US" w:eastAsia="zh-CN"/>
              </w:rPr>
              <w:t>原材料</w:t>
            </w:r>
          </w:p>
        </w:tc>
        <w:tc>
          <w:tcPr>
            <w:tcW w:w="1444"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cs="Times New Roman"/>
                <w:sz w:val="21"/>
                <w:szCs w:val="21"/>
                <w:highlight w:val="yellow"/>
              </w:rPr>
            </w:pPr>
            <w:r>
              <w:rPr>
                <w:rFonts w:hint="default" w:ascii="Times New Roman" w:hAnsi="Times New Roman" w:eastAsia="宋体" w:cs="Times New Roman"/>
                <w:i w:val="0"/>
                <w:color w:val="000000"/>
                <w:spacing w:val="-2"/>
                <w:kern w:val="0"/>
                <w:sz w:val="21"/>
                <w:szCs w:val="21"/>
                <w:u w:val="none"/>
                <w:lang w:val="en-US" w:eastAsia="zh-CN" w:bidi="ar"/>
              </w:rPr>
              <w:t>150857.19</w:t>
            </w:r>
          </w:p>
        </w:tc>
        <w:tc>
          <w:tcPr>
            <w:tcW w:w="1444"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212165.60 </w:t>
            </w:r>
          </w:p>
        </w:tc>
        <w:tc>
          <w:tcPr>
            <w:tcW w:w="1444"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347375.48 </w:t>
            </w:r>
          </w:p>
        </w:tc>
        <w:tc>
          <w:tcPr>
            <w:tcW w:w="1444"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473477.55 </w:t>
            </w:r>
          </w:p>
        </w:tc>
        <w:tc>
          <w:tcPr>
            <w:tcW w:w="1444"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770085.79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915" w:type="dxa"/>
            <w:tcBorders>
              <w:top w:val="nil"/>
              <w:left w:val="nil"/>
              <w:bottom w:val="nil"/>
              <w:right w:val="nil"/>
            </w:tcBorders>
            <w:vAlign w:val="center"/>
          </w:tcPr>
          <w:p>
            <w:pPr>
              <w:ind w:firstLine="0" w:firstLineChars="0"/>
              <w:jc w:val="center"/>
              <w:rPr>
                <w:rFonts w:hint="eastAsia" w:ascii="Times New Roman" w:hAnsi="Times New Roman" w:eastAsia="宋体" w:cs="Times New Roman"/>
                <w:sz w:val="21"/>
                <w:szCs w:val="21"/>
                <w:lang w:eastAsia="zh-CN"/>
              </w:rPr>
            </w:pPr>
            <w:r>
              <w:rPr>
                <w:rFonts w:hint="eastAsia" w:ascii="Times New Roman" w:hAnsi="Times New Roman" w:cs="Times New Roman"/>
                <w:sz w:val="21"/>
                <w:szCs w:val="21"/>
                <w:lang w:val="en-US" w:eastAsia="zh-CN"/>
              </w:rPr>
              <w:t>预付账款</w:t>
            </w:r>
          </w:p>
        </w:tc>
        <w:tc>
          <w:tcPr>
            <w:tcW w:w="1444"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6256.19 </w:t>
            </w:r>
          </w:p>
        </w:tc>
        <w:tc>
          <w:tcPr>
            <w:tcW w:w="1444"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6856.84 </w:t>
            </w:r>
          </w:p>
        </w:tc>
        <w:tc>
          <w:tcPr>
            <w:tcW w:w="1444"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12352.26 </w:t>
            </w:r>
          </w:p>
        </w:tc>
        <w:tc>
          <w:tcPr>
            <w:tcW w:w="1444"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9321.67 </w:t>
            </w:r>
          </w:p>
        </w:tc>
        <w:tc>
          <w:tcPr>
            <w:tcW w:w="1444"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21201.86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915" w:type="dxa"/>
            <w:tcBorders>
              <w:top w:val="nil"/>
              <w:left w:val="nil"/>
              <w:bottom w:val="nil"/>
              <w:right w:val="nil"/>
            </w:tcBorders>
            <w:vAlign w:val="center"/>
          </w:tcPr>
          <w:p>
            <w:pPr>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应付账款</w:t>
            </w:r>
          </w:p>
        </w:tc>
        <w:tc>
          <w:tcPr>
            <w:tcW w:w="1444"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210992.49 </w:t>
            </w:r>
          </w:p>
        </w:tc>
        <w:tc>
          <w:tcPr>
            <w:tcW w:w="1444"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415406.58 </w:t>
            </w:r>
          </w:p>
        </w:tc>
        <w:tc>
          <w:tcPr>
            <w:tcW w:w="1444"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610276.77 </w:t>
            </w:r>
          </w:p>
        </w:tc>
        <w:tc>
          <w:tcPr>
            <w:tcW w:w="1444"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995533.09 </w:t>
            </w:r>
          </w:p>
        </w:tc>
        <w:tc>
          <w:tcPr>
            <w:tcW w:w="1444"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1726822.32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915" w:type="dxa"/>
            <w:tcBorders>
              <w:top w:val="nil"/>
              <w:left w:val="nil"/>
              <w:bottom w:val="nil"/>
              <w:right w:val="nil"/>
            </w:tcBorders>
            <w:vAlign w:val="center"/>
          </w:tcPr>
          <w:p>
            <w:pPr>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应付票据</w:t>
            </w:r>
          </w:p>
        </w:tc>
        <w:tc>
          <w:tcPr>
            <w:tcW w:w="1444"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2564.28 </w:t>
            </w:r>
          </w:p>
        </w:tc>
        <w:tc>
          <w:tcPr>
            <w:tcW w:w="1444"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13700.43 </w:t>
            </w:r>
          </w:p>
        </w:tc>
        <w:tc>
          <w:tcPr>
            <w:tcW w:w="1444"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23856.51 </w:t>
            </w:r>
          </w:p>
        </w:tc>
        <w:tc>
          <w:tcPr>
            <w:tcW w:w="1444"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28218.90 </w:t>
            </w:r>
          </w:p>
        </w:tc>
        <w:tc>
          <w:tcPr>
            <w:tcW w:w="1444"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20649.67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915" w:type="dxa"/>
            <w:tcBorders>
              <w:top w:val="nil"/>
              <w:left w:val="nil"/>
              <w:bottom w:val="single" w:color="auto" w:sz="12" w:space="0"/>
              <w:right w:val="nil"/>
            </w:tcBorders>
            <w:vAlign w:val="center"/>
          </w:tcPr>
          <w:p>
            <w:pPr>
              <w:ind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占用的营运资金</w:t>
            </w:r>
          </w:p>
        </w:tc>
        <w:tc>
          <w:tcPr>
            <w:tcW w:w="1444"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-56443.39 </w:t>
            </w:r>
          </w:p>
        </w:tc>
        <w:tc>
          <w:tcPr>
            <w:tcW w:w="1444"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-210084.58 </w:t>
            </w:r>
          </w:p>
        </w:tc>
        <w:tc>
          <w:tcPr>
            <w:tcW w:w="1444"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-274405.53 </w:t>
            </w:r>
          </w:p>
        </w:tc>
        <w:tc>
          <w:tcPr>
            <w:tcW w:w="1444"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-540952.76 </w:t>
            </w:r>
          </w:p>
        </w:tc>
        <w:tc>
          <w:tcPr>
            <w:tcW w:w="1444"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-956184.33 </w:t>
            </w:r>
          </w:p>
        </w:tc>
      </w:tr>
    </w:tbl>
    <w:p>
      <w:pPr>
        <w:keepNext w:val="0"/>
        <w:keepLines w:val="0"/>
        <w:pageBreakBefore w:val="0"/>
        <w:widowControl/>
        <w:kinsoku/>
        <w:wordWrap/>
        <w:overflowPunct/>
        <w:topLinePunct w:val="0"/>
        <w:autoSpaceDE/>
        <w:autoSpaceDN/>
        <w:bidi w:val="0"/>
        <w:adjustRightInd/>
        <w:snapToGrid/>
        <w:spacing w:line="360" w:lineRule="auto"/>
        <w:ind w:firstLine="352" w:firstLineChars="200"/>
        <w:textAlignment w:val="auto"/>
        <w:rPr>
          <w:rFonts w:hint="default" w:ascii="宋体" w:hAnsi="宋体" w:cs="宋体"/>
          <w:sz w:val="18"/>
          <w:szCs w:val="18"/>
          <w:highlight w:val="none"/>
          <w:lang w:val="en-US" w:eastAsia="zh-CN"/>
        </w:rPr>
      </w:pPr>
      <w:r>
        <w:rPr>
          <w:rFonts w:hint="eastAsia" w:ascii="宋体" w:hAnsi="宋体" w:eastAsia="宋体" w:cs="宋体"/>
          <w:sz w:val="18"/>
          <w:szCs w:val="18"/>
          <w:highlight w:val="none"/>
        </w:rPr>
        <w:t>资料来源：节选自</w:t>
      </w:r>
      <w:r>
        <w:rPr>
          <w:rFonts w:hint="eastAsia" w:ascii="宋体" w:hAnsi="宋体" w:cs="宋体"/>
          <w:sz w:val="18"/>
          <w:szCs w:val="18"/>
          <w:highlight w:val="none"/>
          <w:lang w:val="en-US" w:eastAsia="zh-CN"/>
        </w:rPr>
        <w:t>立讯精密2015—2019财务报表</w:t>
      </w:r>
    </w:p>
    <w:p>
      <w:pPr>
        <w:pStyle w:val="22"/>
        <w:shd w:val="clear" w:color="auto" w:fill="FFFFFF"/>
        <w:spacing w:line="360" w:lineRule="auto"/>
        <w:ind w:firstLine="420" w:firstLineChars="200"/>
        <w:jc w:val="right"/>
      </w:pPr>
      <w:r>
        <w:rPr>
          <w:rFonts w:hint="eastAsia" w:ascii="黑体" w:hAnsi="黑体" w:eastAsia="黑体" w:cs="黑体"/>
          <w:sz w:val="21"/>
          <w:szCs w:val="21"/>
          <w:highlight w:val="none"/>
        </w:rPr>
        <w:t>表 3-</w:t>
      </w:r>
      <w:r>
        <w:rPr>
          <w:rFonts w:hint="eastAsia" w:ascii="黑体" w:hAnsi="黑体" w:eastAsia="黑体" w:cs="黑体"/>
          <w:sz w:val="21"/>
          <w:szCs w:val="21"/>
          <w:highlight w:val="none"/>
          <w:lang w:val="en-US" w:eastAsia="zh-CN"/>
        </w:rPr>
        <w:t xml:space="preserve">8  </w:t>
      </w:r>
      <w:r>
        <w:rPr>
          <w:rFonts w:hint="eastAsia" w:ascii="黑体" w:hAnsi="黑体" w:eastAsia="黑体" w:cs="黑体"/>
          <w:sz w:val="21"/>
          <w:szCs w:val="21"/>
          <w:lang w:val="en-US" w:eastAsia="zh-CN"/>
        </w:rPr>
        <w:t>采购渠道营运资金周转期</w:t>
      </w:r>
      <w:r>
        <w:rPr>
          <w:rFonts w:hint="eastAsia" w:ascii="黑体" w:hAnsi="黑体" w:eastAsia="黑体" w:cs="黑体"/>
          <w:sz w:val="21"/>
          <w:szCs w:val="21"/>
        </w:rPr>
        <w:t xml:space="preserve">                    单位：</w:t>
      </w:r>
      <w:r>
        <w:rPr>
          <w:rFonts w:hint="eastAsia" w:ascii="黑体" w:hAnsi="黑体" w:eastAsia="黑体" w:cs="黑体"/>
          <w:sz w:val="21"/>
          <w:szCs w:val="21"/>
          <w:lang w:val="en-US" w:eastAsia="zh-CN"/>
        </w:rPr>
        <w:t>万</w:t>
      </w:r>
      <w:r>
        <w:rPr>
          <w:rFonts w:hint="eastAsia" w:ascii="黑体" w:hAnsi="黑体" w:eastAsia="黑体" w:cs="黑体"/>
          <w:sz w:val="21"/>
          <w:szCs w:val="21"/>
        </w:rPr>
        <w:t>元</w:t>
      </w:r>
    </w:p>
    <w:tbl>
      <w:tblPr>
        <w:tblStyle w:val="25"/>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448"/>
        <w:gridCol w:w="1448"/>
        <w:gridCol w:w="1448"/>
        <w:gridCol w:w="1448"/>
        <w:gridCol w:w="1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918" w:type="dxa"/>
            <w:tcBorders>
              <w:top w:val="single" w:color="auto" w:sz="12" w:space="0"/>
              <w:left w:val="nil"/>
              <w:bottom w:val="single" w:color="auto" w:sz="4" w:space="0"/>
              <w:right w:val="nil"/>
            </w:tcBorders>
          </w:tcPr>
          <w:p>
            <w:pPr>
              <w:ind w:firstLine="0" w:firstLineChars="0"/>
              <w:jc w:val="center"/>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项目</w:t>
            </w:r>
          </w:p>
        </w:tc>
        <w:tc>
          <w:tcPr>
            <w:tcW w:w="1448" w:type="dxa"/>
            <w:tcBorders>
              <w:top w:val="single" w:color="auto" w:sz="12" w:space="0"/>
              <w:left w:val="nil"/>
              <w:bottom w:val="single" w:color="auto" w:sz="4" w:space="0"/>
              <w:right w:val="nil"/>
            </w:tcBorders>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2015</w:t>
            </w:r>
          </w:p>
        </w:tc>
        <w:tc>
          <w:tcPr>
            <w:tcW w:w="1448" w:type="dxa"/>
            <w:tcBorders>
              <w:top w:val="single" w:color="auto" w:sz="12" w:space="0"/>
              <w:left w:val="nil"/>
              <w:bottom w:val="single" w:color="auto" w:sz="4" w:space="0"/>
              <w:right w:val="nil"/>
            </w:tcBorders>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2016</w:t>
            </w:r>
          </w:p>
        </w:tc>
        <w:tc>
          <w:tcPr>
            <w:tcW w:w="1448" w:type="dxa"/>
            <w:tcBorders>
              <w:top w:val="single" w:color="auto" w:sz="12" w:space="0"/>
              <w:left w:val="nil"/>
              <w:bottom w:val="single" w:color="auto" w:sz="4" w:space="0"/>
              <w:right w:val="nil"/>
            </w:tcBorders>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2017</w:t>
            </w:r>
          </w:p>
        </w:tc>
        <w:tc>
          <w:tcPr>
            <w:tcW w:w="1448" w:type="dxa"/>
            <w:tcBorders>
              <w:top w:val="single" w:color="auto" w:sz="12" w:space="0"/>
              <w:left w:val="nil"/>
              <w:bottom w:val="single" w:color="auto" w:sz="4" w:space="0"/>
              <w:right w:val="nil"/>
            </w:tcBorders>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2018</w:t>
            </w:r>
          </w:p>
        </w:tc>
        <w:tc>
          <w:tcPr>
            <w:tcW w:w="1448" w:type="dxa"/>
            <w:tcBorders>
              <w:top w:val="single" w:color="auto" w:sz="12" w:space="0"/>
              <w:left w:val="nil"/>
              <w:bottom w:val="single" w:color="auto" w:sz="4" w:space="0"/>
              <w:right w:val="nil"/>
            </w:tcBorders>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918" w:type="dxa"/>
            <w:tcBorders>
              <w:top w:val="single" w:color="auto" w:sz="4" w:space="0"/>
              <w:left w:val="nil"/>
              <w:bottom w:val="nil"/>
              <w:right w:val="nil"/>
            </w:tcBorders>
            <w:vAlign w:val="center"/>
          </w:tcPr>
          <w:p>
            <w:pPr>
              <w:ind w:firstLine="0" w:firstLineChars="0"/>
              <w:jc w:val="center"/>
              <w:rPr>
                <w:rFonts w:hint="eastAsia" w:ascii="Times New Roman" w:hAnsi="Times New Roman" w:eastAsia="宋体" w:cs="Times New Roman"/>
                <w:sz w:val="21"/>
                <w:szCs w:val="21"/>
                <w:lang w:eastAsia="zh-CN"/>
              </w:rPr>
            </w:pPr>
            <w:r>
              <w:rPr>
                <w:rFonts w:hint="eastAsia" w:ascii="Times New Roman" w:hAnsi="Times New Roman" w:cs="Times New Roman"/>
                <w:sz w:val="21"/>
                <w:szCs w:val="21"/>
                <w:lang w:val="en-US" w:eastAsia="zh-CN"/>
              </w:rPr>
              <w:t>原材料</w:t>
            </w:r>
          </w:p>
        </w:tc>
        <w:tc>
          <w:tcPr>
            <w:tcW w:w="1448"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cs="Times New Roman"/>
                <w:sz w:val="21"/>
                <w:szCs w:val="21"/>
                <w:highlight w:val="yellow"/>
              </w:rPr>
            </w:pPr>
            <w:r>
              <w:rPr>
                <w:rFonts w:hint="default" w:ascii="Times New Roman" w:hAnsi="Times New Roman" w:eastAsia="宋体" w:cs="Times New Roman"/>
                <w:i w:val="0"/>
                <w:color w:val="000000"/>
                <w:spacing w:val="-2"/>
                <w:kern w:val="0"/>
                <w:sz w:val="21"/>
                <w:szCs w:val="21"/>
                <w:u w:val="none"/>
                <w:lang w:val="en-US" w:eastAsia="zh-CN" w:bidi="ar"/>
              </w:rPr>
              <w:t>150857.19</w:t>
            </w:r>
          </w:p>
        </w:tc>
        <w:tc>
          <w:tcPr>
            <w:tcW w:w="1448"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212165.60 </w:t>
            </w:r>
          </w:p>
        </w:tc>
        <w:tc>
          <w:tcPr>
            <w:tcW w:w="1448"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347375.48 </w:t>
            </w:r>
          </w:p>
        </w:tc>
        <w:tc>
          <w:tcPr>
            <w:tcW w:w="1448"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473477.55 </w:t>
            </w:r>
          </w:p>
        </w:tc>
        <w:tc>
          <w:tcPr>
            <w:tcW w:w="1448"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770085.79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918" w:type="dxa"/>
            <w:tcBorders>
              <w:top w:val="nil"/>
              <w:left w:val="nil"/>
              <w:bottom w:val="nil"/>
              <w:right w:val="nil"/>
            </w:tcBorders>
            <w:vAlign w:val="center"/>
          </w:tcPr>
          <w:p>
            <w:pPr>
              <w:ind w:firstLine="0" w:firstLineChars="0"/>
              <w:jc w:val="center"/>
              <w:rPr>
                <w:rFonts w:hint="eastAsia" w:ascii="Times New Roman" w:hAnsi="Times New Roman" w:eastAsia="宋体" w:cs="Times New Roman"/>
                <w:sz w:val="21"/>
                <w:szCs w:val="21"/>
                <w:lang w:eastAsia="zh-CN"/>
              </w:rPr>
            </w:pPr>
            <w:r>
              <w:rPr>
                <w:rFonts w:hint="eastAsia" w:ascii="Times New Roman" w:hAnsi="Times New Roman" w:cs="Times New Roman"/>
                <w:sz w:val="21"/>
                <w:szCs w:val="21"/>
                <w:lang w:val="en-US" w:eastAsia="zh-CN"/>
              </w:rPr>
              <w:t>占用的营运资金</w:t>
            </w:r>
          </w:p>
        </w:tc>
        <w:tc>
          <w:tcPr>
            <w:tcW w:w="1448"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-56443.39 </w:t>
            </w:r>
          </w:p>
        </w:tc>
        <w:tc>
          <w:tcPr>
            <w:tcW w:w="1448"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-210084.58 </w:t>
            </w:r>
          </w:p>
        </w:tc>
        <w:tc>
          <w:tcPr>
            <w:tcW w:w="1448"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-274405.53 </w:t>
            </w:r>
          </w:p>
        </w:tc>
        <w:tc>
          <w:tcPr>
            <w:tcW w:w="1448"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-540952.76 </w:t>
            </w:r>
          </w:p>
        </w:tc>
        <w:tc>
          <w:tcPr>
            <w:tcW w:w="1448"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-956184.33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918" w:type="dxa"/>
            <w:tcBorders>
              <w:top w:val="nil"/>
              <w:left w:val="nil"/>
              <w:bottom w:val="single" w:color="auto" w:sz="12" w:space="0"/>
              <w:right w:val="nil"/>
            </w:tcBorders>
            <w:vAlign w:val="center"/>
          </w:tcPr>
          <w:p>
            <w:pPr>
              <w:ind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营运资金周转期</w:t>
            </w:r>
          </w:p>
        </w:tc>
        <w:tc>
          <w:tcPr>
            <w:tcW w:w="1448"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-136.57</w:t>
            </w:r>
          </w:p>
        </w:tc>
        <w:tc>
          <w:tcPr>
            <w:tcW w:w="1448"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-361.42</w:t>
            </w:r>
          </w:p>
        </w:tc>
        <w:tc>
          <w:tcPr>
            <w:tcW w:w="1448"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-288.33</w:t>
            </w:r>
          </w:p>
        </w:tc>
        <w:tc>
          <w:tcPr>
            <w:tcW w:w="1448"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-417.02</w:t>
            </w:r>
          </w:p>
        </w:tc>
        <w:tc>
          <w:tcPr>
            <w:tcW w:w="1448"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-453.21</w:t>
            </w:r>
          </w:p>
        </w:tc>
      </w:tr>
    </w:tbl>
    <w:p>
      <w:pPr>
        <w:keepNext w:val="0"/>
        <w:keepLines w:val="0"/>
        <w:pageBreakBefore w:val="0"/>
        <w:widowControl/>
        <w:kinsoku/>
        <w:wordWrap/>
        <w:overflowPunct/>
        <w:topLinePunct w:val="0"/>
        <w:autoSpaceDE/>
        <w:autoSpaceDN/>
        <w:bidi w:val="0"/>
        <w:adjustRightInd/>
        <w:snapToGrid/>
        <w:spacing w:line="360" w:lineRule="auto"/>
        <w:ind w:firstLine="352" w:firstLineChars="200"/>
        <w:textAlignment w:val="auto"/>
        <w:rPr>
          <w:rFonts w:hint="default" w:ascii="宋体" w:hAnsi="宋体" w:cs="宋体"/>
          <w:sz w:val="18"/>
          <w:szCs w:val="18"/>
          <w:highlight w:val="none"/>
          <w:lang w:val="en-US" w:eastAsia="zh-CN"/>
        </w:rPr>
      </w:pPr>
      <w:r>
        <w:rPr>
          <w:rFonts w:hint="eastAsia" w:ascii="宋体" w:hAnsi="宋体" w:eastAsia="宋体" w:cs="宋体"/>
          <w:sz w:val="18"/>
          <w:szCs w:val="18"/>
          <w:highlight w:val="none"/>
        </w:rPr>
        <w:t>资料来源：节选自</w:t>
      </w:r>
      <w:r>
        <w:rPr>
          <w:rFonts w:hint="eastAsia" w:ascii="宋体" w:hAnsi="宋体" w:cs="宋体"/>
          <w:sz w:val="18"/>
          <w:szCs w:val="18"/>
          <w:highlight w:val="none"/>
          <w:lang w:val="en-US" w:eastAsia="zh-CN"/>
        </w:rPr>
        <w:t>立讯精密2015—2019财务报表</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val="0"/>
        <w:snapToGrid w:val="0"/>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从表</w:t>
      </w:r>
      <w:r>
        <w:rPr>
          <w:rFonts w:hint="default" w:ascii="Times New Roman" w:hAnsi="Times New Roman" w:cs="Times New Roman"/>
          <w:sz w:val="24"/>
          <w:highlight w:val="none"/>
          <w:lang w:val="en-US" w:eastAsia="zh-CN"/>
        </w:rPr>
        <w:t>3-</w:t>
      </w:r>
      <w:r>
        <w:rPr>
          <w:rFonts w:hint="eastAsia" w:ascii="Times New Roman" w:hAnsi="Times New Roman" w:cs="Times New Roman"/>
          <w:sz w:val="24"/>
          <w:highlight w:val="none"/>
          <w:lang w:val="en-US" w:eastAsia="zh-CN"/>
        </w:rPr>
        <w:t>7、</w:t>
      </w:r>
      <w:r>
        <w:rPr>
          <w:rFonts w:hint="default" w:ascii="Times New Roman" w:hAnsi="Times New Roman" w:cs="Times New Roman"/>
          <w:sz w:val="24"/>
          <w:highlight w:val="none"/>
          <w:lang w:val="en-US" w:eastAsia="zh-CN"/>
        </w:rPr>
        <w:t>3-</w:t>
      </w:r>
      <w:r>
        <w:rPr>
          <w:rFonts w:hint="eastAsia" w:ascii="Times New Roman" w:hAnsi="Times New Roman" w:cs="Times New Roman"/>
          <w:sz w:val="24"/>
          <w:highlight w:val="none"/>
          <w:lang w:val="en-US" w:eastAsia="zh-CN"/>
        </w:rPr>
        <w:t>8</w:t>
      </w:r>
      <w:r>
        <w:rPr>
          <w:rFonts w:hint="eastAsia" w:ascii="宋体" w:hAnsi="宋体" w:cs="宋体"/>
          <w:sz w:val="24"/>
          <w:highlight w:val="none"/>
          <w:lang w:val="en-US" w:eastAsia="zh-CN"/>
        </w:rPr>
        <w:t>中可以清晰看出，立讯精密</w:t>
      </w:r>
      <w:r>
        <w:rPr>
          <w:rFonts w:hint="eastAsia" w:ascii="Times New Roman" w:hAnsi="Times New Roman" w:cs="Times New Roman"/>
          <w:sz w:val="24"/>
          <w:highlight w:val="none"/>
          <w:lang w:val="en-US" w:eastAsia="zh-CN"/>
        </w:rPr>
        <w:t>2015——2019</w:t>
      </w:r>
      <w:r>
        <w:rPr>
          <w:rFonts w:hint="eastAsia" w:ascii="宋体" w:hAnsi="宋体" w:cs="宋体"/>
          <w:sz w:val="24"/>
          <w:highlight w:val="none"/>
          <w:lang w:val="en-US" w:eastAsia="zh-CN"/>
        </w:rPr>
        <w:t>采购环节占用的营运资金、营运资金周转期为负值，表明企业想要通过外部资金提高自身资金使用效率，致使应付款项大于存货与预付款金额之和，所得数据出现负值。并且随着年限的增长，两数值之间的差距越来越大，绝对值不断增大，应付款项显著提升，企业对上游供用商资金占用金额较大。这一数据与同行业特点相呼应，但对企业而言，应付账款过多、支付时间过长，会对供应商合作意向带来消极影响，不利于企业商誉。同时，营运资金较少也会带来更多的偿债风险。</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default" w:ascii="Times New Roman" w:hAnsi="Times New Roman" w:cs="Times New Roman"/>
          <w:sz w:val="24"/>
          <w:highlight w:val="none"/>
          <w:lang w:val="en-US" w:eastAsia="zh-CN"/>
        </w:rPr>
        <w:t>（1）</w:t>
      </w:r>
      <w:r>
        <w:rPr>
          <w:rFonts w:hint="eastAsia" w:ascii="宋体" w:hAnsi="宋体" w:cs="宋体"/>
          <w:sz w:val="24"/>
          <w:highlight w:val="none"/>
          <w:lang w:val="en-US" w:eastAsia="zh-CN"/>
        </w:rPr>
        <w:t>从原材料的角度分析</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原材料的增长增加企业相关采购风险。原材料是企业进行商品交易的物质基础，有了必要的物质条件，企业才能通过自身生产技术将其加工生产为产品，企业所需材料的多少由产品市场需求所定，材料价格数量受物价水平、消费者需求等共同决定，因此，企业需根据需求合理估计、控制材料存货占用。由</w:t>
      </w:r>
      <w:r>
        <w:rPr>
          <w:rFonts w:hint="eastAsia" w:ascii="Times New Roman" w:hAnsi="Times New Roman" w:cs="Times New Roman"/>
          <w:sz w:val="24"/>
          <w:highlight w:val="none"/>
          <w:lang w:val="en-US" w:eastAsia="zh-CN"/>
        </w:rPr>
        <w:t>3-7</w:t>
      </w:r>
      <w:r>
        <w:rPr>
          <w:rFonts w:hint="eastAsia" w:ascii="宋体" w:hAnsi="宋体" w:cs="宋体"/>
          <w:sz w:val="24"/>
          <w:highlight w:val="none"/>
          <w:lang w:val="en-US" w:eastAsia="zh-CN"/>
        </w:rPr>
        <w:t>表格数据可得，用于原材料的资金量随年份的增长有较大的增幅，其中，</w:t>
      </w:r>
      <w:r>
        <w:rPr>
          <w:rFonts w:hint="eastAsia" w:ascii="Times New Roman" w:hAnsi="Times New Roman" w:cs="Times New Roman"/>
          <w:sz w:val="24"/>
          <w:highlight w:val="none"/>
          <w:lang w:val="en-US" w:eastAsia="zh-CN"/>
        </w:rPr>
        <w:t>2016——2017</w:t>
      </w:r>
      <w:r>
        <w:rPr>
          <w:rFonts w:hint="eastAsia" w:ascii="宋体" w:hAnsi="宋体" w:cs="宋体"/>
          <w:sz w:val="24"/>
          <w:highlight w:val="none"/>
          <w:lang w:val="en-US" w:eastAsia="zh-CN"/>
        </w:rPr>
        <w:t>原材料资金增长了</w:t>
      </w:r>
      <w:r>
        <w:rPr>
          <w:rFonts w:hint="eastAsia" w:ascii="Times New Roman" w:hAnsi="Times New Roman" w:cs="Times New Roman"/>
          <w:sz w:val="24"/>
          <w:highlight w:val="none"/>
          <w:lang w:val="en-US" w:eastAsia="zh-CN"/>
        </w:rPr>
        <w:t>63.73%</w:t>
      </w:r>
      <w:r>
        <w:rPr>
          <w:rFonts w:hint="eastAsia" w:ascii="宋体" w:hAnsi="宋体" w:cs="宋体"/>
          <w:sz w:val="24"/>
          <w:highlight w:val="none"/>
          <w:lang w:val="en-US" w:eastAsia="zh-CN"/>
        </w:rPr>
        <w:t>，</w:t>
      </w:r>
      <w:r>
        <w:rPr>
          <w:rFonts w:hint="eastAsia" w:ascii="Times New Roman" w:hAnsi="Times New Roman" w:cs="Times New Roman"/>
          <w:sz w:val="24"/>
          <w:highlight w:val="none"/>
          <w:lang w:val="en-US" w:eastAsia="zh-CN"/>
        </w:rPr>
        <w:t>2017——2018</w:t>
      </w:r>
      <w:r>
        <w:rPr>
          <w:rFonts w:hint="eastAsia" w:ascii="宋体" w:hAnsi="宋体" w:cs="宋体"/>
          <w:sz w:val="24"/>
          <w:highlight w:val="none"/>
          <w:lang w:val="en-US" w:eastAsia="zh-CN"/>
        </w:rPr>
        <w:t>原材料资金增长了</w:t>
      </w:r>
      <w:r>
        <w:rPr>
          <w:rFonts w:hint="eastAsia" w:ascii="Times New Roman" w:hAnsi="Times New Roman" w:cs="Times New Roman"/>
          <w:sz w:val="24"/>
          <w:highlight w:val="none"/>
          <w:lang w:val="en-US" w:eastAsia="zh-CN"/>
        </w:rPr>
        <w:t>36.30%</w:t>
      </w:r>
      <w:r>
        <w:rPr>
          <w:rFonts w:hint="eastAsia" w:ascii="宋体" w:hAnsi="宋体" w:cs="宋体"/>
          <w:sz w:val="24"/>
          <w:highlight w:val="none"/>
          <w:lang w:val="en-US" w:eastAsia="zh-CN"/>
        </w:rPr>
        <w:t>，</w:t>
      </w:r>
      <w:r>
        <w:rPr>
          <w:rFonts w:hint="eastAsia" w:ascii="Times New Roman" w:hAnsi="Times New Roman" w:cs="Times New Roman"/>
          <w:sz w:val="24"/>
          <w:highlight w:val="none"/>
          <w:lang w:val="en-US" w:eastAsia="zh-CN"/>
        </w:rPr>
        <w:t>2017——2018</w:t>
      </w:r>
      <w:r>
        <w:rPr>
          <w:rFonts w:hint="eastAsia" w:ascii="宋体" w:hAnsi="宋体" w:cs="宋体"/>
          <w:sz w:val="24"/>
          <w:highlight w:val="none"/>
          <w:lang w:val="en-US" w:eastAsia="zh-CN"/>
        </w:rPr>
        <w:t>原材料资金增长了</w:t>
      </w:r>
      <w:r>
        <w:rPr>
          <w:rFonts w:hint="eastAsia" w:ascii="Times New Roman" w:hAnsi="Times New Roman" w:cs="Times New Roman"/>
          <w:sz w:val="24"/>
          <w:highlight w:val="none"/>
          <w:lang w:val="en-US" w:eastAsia="zh-CN"/>
        </w:rPr>
        <w:t>62.64%</w:t>
      </w:r>
      <w:r>
        <w:rPr>
          <w:rFonts w:hint="eastAsia" w:ascii="宋体" w:hAnsi="宋体" w:cs="宋体"/>
          <w:sz w:val="24"/>
          <w:highlight w:val="none"/>
          <w:lang w:val="en-US" w:eastAsia="zh-CN"/>
        </w:rPr>
        <w:t>，连年持续增长，这主要是因为企业自</w:t>
      </w:r>
      <w:r>
        <w:rPr>
          <w:rFonts w:hint="eastAsia" w:ascii="Times New Roman" w:hAnsi="Times New Roman" w:cs="Times New Roman"/>
          <w:sz w:val="24"/>
          <w:highlight w:val="none"/>
          <w:lang w:val="en-US" w:eastAsia="zh-CN"/>
        </w:rPr>
        <w:t>2011</w:t>
      </w:r>
      <w:r>
        <w:rPr>
          <w:rFonts w:hint="eastAsia" w:ascii="宋体" w:hAnsi="宋体" w:cs="宋体"/>
          <w:sz w:val="24"/>
          <w:highlight w:val="none"/>
          <w:lang w:val="en-US" w:eastAsia="zh-CN"/>
        </w:rPr>
        <w:t>年起，不断扩大规模、增资、收购，导致原材料资金显著增加企业成本压力。尽管近年来企业通过产品研发，改良了生产消耗，降低生产成本，并且，由于互联网+的兴起，使同行原材料行业出现较大竞争而增加优惠政策，与供应商议价能力出现提升，但现时所需材料价值仍然出现大量增幅，企业所面临的风险也将不断加强。因此，企业应在原材料的采购时及时有效关注原材料采购所带来的风险成本。此外，应付款项的资金也在随着原材料的增加而增加，说明企业有意拖欠、占用上游供应商资金，不利于长远合作关系。</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Times New Roman" w:hAnsi="Times New Roman" w:cs="Times New Roman"/>
          <w:sz w:val="24"/>
          <w:highlight w:val="none"/>
          <w:lang w:val="en-US" w:eastAsia="zh-CN"/>
        </w:rPr>
        <w:t>（2）</w:t>
      </w:r>
      <w:r>
        <w:rPr>
          <w:rFonts w:hint="eastAsia" w:ascii="宋体" w:hAnsi="宋体" w:cs="宋体"/>
          <w:sz w:val="24"/>
          <w:highlight w:val="none"/>
          <w:lang w:val="en-US" w:eastAsia="zh-CN"/>
        </w:rPr>
        <w:t>从债务角度进行分析</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 xml:space="preserve">在生产商与供应商的商品交易中，长期、过度占用资金，对合作关系都是不友好的。从表中数据可以从得出，立讯精密在近年原材料、应付账款、应付票据不断增加，而预付账款却在减少，这说明立讯精密在采购环节中，话语权不断提升，有一定的信用等级，这和该企业拥有自主研发能力，不断出产技术型产品，在市场地位上的显著提升有很大关系。少量的预付款使得立讯精密有更多的资金投入其他环节，减少企业资金压力。立讯精密通过占用上游资金缩短采购周转期，尽管短期能给企业带来经济收益，但对与供应商持续的合作关系来看产生消极影响，进而影响立讯精密企业信誉。 </w:t>
      </w:r>
      <w:bookmarkStart w:id="68" w:name="_Toc482619862"/>
      <w:bookmarkStart w:id="69" w:name="_Toc7375"/>
      <w:bookmarkStart w:id="70" w:name="_Toc17090"/>
      <w:bookmarkStart w:id="71" w:name="_Toc493958016"/>
    </w:p>
    <w:bookmarkEnd w:id="68"/>
    <w:bookmarkEnd w:id="69"/>
    <w:bookmarkEnd w:id="70"/>
    <w:bookmarkEnd w:id="71"/>
    <w:p>
      <w:pPr>
        <w:pStyle w:val="5"/>
        <w:keepNext/>
        <w:keepLines/>
        <w:pageBreakBefore w:val="0"/>
        <w:widowControl/>
        <w:numPr>
          <w:ilvl w:val="0"/>
          <w:numId w:val="0"/>
        </w:numPr>
        <w:kinsoku/>
        <w:wordWrap/>
        <w:overflowPunct/>
        <w:topLinePunct w:val="0"/>
        <w:autoSpaceDE/>
        <w:autoSpaceDN/>
        <w:bidi w:val="0"/>
        <w:adjustRightInd/>
        <w:snapToGrid/>
        <w:spacing w:before="0" w:after="0" w:line="360" w:lineRule="auto"/>
        <w:ind w:firstLine="552" w:firstLineChars="200"/>
        <w:textAlignment w:val="auto"/>
        <w:rPr>
          <w:rFonts w:hint="eastAsia" w:ascii="黑体" w:hAnsi="黑体" w:eastAsia="黑体" w:cs="黑体"/>
          <w:b w:val="0"/>
          <w:bCs w:val="0"/>
          <w:sz w:val="28"/>
          <w:szCs w:val="28"/>
          <w:lang w:val="en-US" w:eastAsia="zh-CN"/>
        </w:rPr>
      </w:pPr>
      <w:bookmarkStart w:id="72" w:name="_Toc3306"/>
      <w:r>
        <w:rPr>
          <w:rFonts w:hint="eastAsia" w:ascii="黑体" w:hAnsi="黑体" w:cs="黑体"/>
          <w:b w:val="0"/>
          <w:bCs w:val="0"/>
          <w:sz w:val="28"/>
          <w:szCs w:val="28"/>
          <w:lang w:val="en-US" w:eastAsia="zh-CN"/>
        </w:rPr>
        <w:t>2.</w:t>
      </w:r>
      <w:r>
        <w:rPr>
          <w:rFonts w:hint="eastAsia" w:ascii="黑体" w:hAnsi="黑体" w:eastAsia="黑体" w:cs="黑体"/>
          <w:b w:val="0"/>
          <w:bCs w:val="0"/>
          <w:sz w:val="28"/>
          <w:szCs w:val="28"/>
          <w:lang w:val="en-US" w:eastAsia="zh-CN"/>
        </w:rPr>
        <w:t>生产渠道营运资金管理分析</w:t>
      </w:r>
      <w:bookmarkEnd w:id="72"/>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default" w:ascii="宋体" w:hAnsi="宋体" w:cs="宋体"/>
          <w:sz w:val="24"/>
          <w:highlight w:val="none"/>
          <w:lang w:val="en-US" w:eastAsia="zh-CN"/>
        </w:rPr>
      </w:pPr>
      <w:r>
        <w:rPr>
          <w:rFonts w:hint="eastAsia" w:ascii="宋体" w:hAnsi="宋体" w:cs="宋体"/>
          <w:sz w:val="24"/>
          <w:highlight w:val="none"/>
          <w:lang w:val="en-US" w:eastAsia="zh-CN"/>
        </w:rPr>
        <w:t>生产渠道连接采购与营销，是制造企业产品生成的重要环节，该环节占据大量企业营运资金，对营运资金管理影响较大。主要资金构成如下表</w:t>
      </w:r>
      <w:r>
        <w:rPr>
          <w:rFonts w:hint="eastAsia" w:ascii="Times New Roman" w:hAnsi="Times New Roman" w:cs="Times New Roman"/>
          <w:sz w:val="24"/>
          <w:highlight w:val="none"/>
          <w:lang w:val="en-US" w:eastAsia="zh-CN"/>
        </w:rPr>
        <w:t>3-9</w:t>
      </w:r>
      <w:r>
        <w:rPr>
          <w:rFonts w:hint="eastAsia" w:ascii="宋体" w:hAnsi="宋体" w:cs="宋体"/>
          <w:sz w:val="24"/>
          <w:highlight w:val="none"/>
          <w:lang w:val="en-US" w:eastAsia="zh-CN"/>
        </w:rPr>
        <w:t>，计算公式如下：</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生产渠道营运资金 = 在产品+其他应收款-应付职工薪酬-其他应付款</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生产渠道营运资金周转期 = 生产渠道营运资金/(销售收入/</w:t>
      </w:r>
      <w:r>
        <w:rPr>
          <w:rFonts w:hint="eastAsia" w:ascii="Times New Roman" w:hAnsi="Times New Roman" w:cs="Times New Roman"/>
          <w:sz w:val="24"/>
          <w:highlight w:val="none"/>
          <w:lang w:val="en-US" w:eastAsia="zh-CN"/>
        </w:rPr>
        <w:t>365</w:t>
      </w:r>
      <w:r>
        <w:rPr>
          <w:rFonts w:hint="eastAsia" w:ascii="宋体" w:hAnsi="宋体" w:cs="宋体"/>
          <w:sz w:val="24"/>
          <w:highlight w:val="none"/>
          <w:lang w:val="en-US" w:eastAsia="zh-CN"/>
        </w:rPr>
        <w:t>)</w:t>
      </w:r>
    </w:p>
    <w:p>
      <w:pPr>
        <w:pStyle w:val="22"/>
        <w:shd w:val="clear" w:color="auto" w:fill="FFFFFF"/>
        <w:spacing w:line="360" w:lineRule="auto"/>
        <w:ind w:firstLine="420" w:firstLineChars="200"/>
        <w:jc w:val="right"/>
        <w:rPr>
          <w:rFonts w:hint="eastAsia" w:ascii="黑体" w:hAnsi="黑体" w:eastAsia="黑体" w:cs="黑体"/>
          <w:sz w:val="21"/>
          <w:szCs w:val="21"/>
        </w:rPr>
      </w:pPr>
      <w:r>
        <w:rPr>
          <w:rFonts w:hint="eastAsia" w:ascii="黑体" w:hAnsi="黑体" w:eastAsia="黑体" w:cs="黑体"/>
          <w:sz w:val="21"/>
          <w:szCs w:val="21"/>
          <w:highlight w:val="none"/>
        </w:rPr>
        <w:t>表 3-</w:t>
      </w:r>
      <w:r>
        <w:rPr>
          <w:rFonts w:hint="eastAsia" w:ascii="黑体" w:hAnsi="黑体" w:eastAsia="黑体" w:cs="黑体"/>
          <w:sz w:val="21"/>
          <w:szCs w:val="21"/>
          <w:highlight w:val="none"/>
          <w:lang w:val="en-US" w:eastAsia="zh-CN"/>
        </w:rPr>
        <w:t xml:space="preserve">9  </w:t>
      </w:r>
      <w:r>
        <w:rPr>
          <w:rFonts w:hint="eastAsia" w:ascii="黑体" w:hAnsi="黑体" w:eastAsia="黑体" w:cs="黑体"/>
          <w:sz w:val="21"/>
          <w:szCs w:val="21"/>
          <w:lang w:val="en-US" w:eastAsia="zh-CN"/>
        </w:rPr>
        <w:t>生产渠道占用的营运资金</w:t>
      </w:r>
      <w:r>
        <w:rPr>
          <w:rFonts w:hint="eastAsia" w:ascii="黑体" w:hAnsi="黑体" w:eastAsia="黑体" w:cs="黑体"/>
          <w:sz w:val="21"/>
          <w:szCs w:val="21"/>
        </w:rPr>
        <w:t xml:space="preserve">                   单位：</w:t>
      </w:r>
      <w:r>
        <w:rPr>
          <w:rFonts w:hint="eastAsia" w:ascii="黑体" w:hAnsi="黑体" w:eastAsia="黑体" w:cs="黑体"/>
          <w:sz w:val="21"/>
          <w:szCs w:val="21"/>
          <w:lang w:val="en-US" w:eastAsia="zh-CN"/>
        </w:rPr>
        <w:t>万</w:t>
      </w:r>
      <w:r>
        <w:rPr>
          <w:rFonts w:hint="eastAsia" w:ascii="黑体" w:hAnsi="黑体" w:eastAsia="黑体" w:cs="黑体"/>
          <w:sz w:val="21"/>
          <w:szCs w:val="21"/>
        </w:rPr>
        <w:t>元</w:t>
      </w:r>
    </w:p>
    <w:tbl>
      <w:tblPr>
        <w:tblStyle w:val="25"/>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1426"/>
        <w:gridCol w:w="1426"/>
        <w:gridCol w:w="1426"/>
        <w:gridCol w:w="1426"/>
        <w:gridCol w:w="1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889"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项目</w:t>
            </w:r>
          </w:p>
        </w:tc>
        <w:tc>
          <w:tcPr>
            <w:tcW w:w="1426"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2015</w:t>
            </w:r>
          </w:p>
        </w:tc>
        <w:tc>
          <w:tcPr>
            <w:tcW w:w="1426"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2016</w:t>
            </w:r>
          </w:p>
        </w:tc>
        <w:tc>
          <w:tcPr>
            <w:tcW w:w="1426"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2017</w:t>
            </w:r>
          </w:p>
        </w:tc>
        <w:tc>
          <w:tcPr>
            <w:tcW w:w="1426"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2018</w:t>
            </w:r>
          </w:p>
        </w:tc>
        <w:tc>
          <w:tcPr>
            <w:tcW w:w="1426"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889" w:type="dxa"/>
            <w:tcBorders>
              <w:top w:val="single" w:color="auto" w:sz="4" w:space="0"/>
              <w:left w:val="nil"/>
              <w:bottom w:val="nil"/>
              <w:right w:val="nil"/>
            </w:tcBorders>
            <w:vAlign w:val="center"/>
          </w:tcPr>
          <w:p>
            <w:pPr>
              <w:ind w:firstLine="0" w:firstLineChars="0"/>
              <w:jc w:val="center"/>
              <w:rPr>
                <w:rFonts w:hint="eastAsia" w:ascii="Times New Roman" w:hAnsi="Times New Roman" w:eastAsia="宋体" w:cs="Times New Roman"/>
                <w:sz w:val="21"/>
                <w:szCs w:val="21"/>
                <w:lang w:eastAsia="zh-CN"/>
              </w:rPr>
            </w:pPr>
            <w:r>
              <w:rPr>
                <w:rFonts w:hint="eastAsia" w:ascii="Times New Roman" w:hAnsi="Times New Roman" w:cs="Times New Roman"/>
                <w:sz w:val="21"/>
                <w:szCs w:val="21"/>
                <w:lang w:val="en-US" w:eastAsia="zh-CN"/>
              </w:rPr>
              <w:t>在产品</w:t>
            </w:r>
          </w:p>
        </w:tc>
        <w:tc>
          <w:tcPr>
            <w:tcW w:w="1426"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sz w:val="21"/>
                <w:szCs w:val="21"/>
                <w:highlight w:val="yellow"/>
              </w:rPr>
            </w:pPr>
            <w:r>
              <w:rPr>
                <w:rFonts w:hint="default" w:ascii="Times New Roman" w:hAnsi="Times New Roman" w:eastAsia="宋体" w:cs="Times New Roman"/>
                <w:i w:val="0"/>
                <w:color w:val="000000"/>
                <w:spacing w:val="-2"/>
                <w:kern w:val="0"/>
                <w:sz w:val="21"/>
                <w:szCs w:val="21"/>
                <w:u w:val="none"/>
                <w:lang w:val="en-US" w:eastAsia="zh-CN" w:bidi="ar"/>
              </w:rPr>
              <w:t>7272.55</w:t>
            </w:r>
          </w:p>
        </w:tc>
        <w:tc>
          <w:tcPr>
            <w:tcW w:w="1426"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24062.28 </w:t>
            </w:r>
          </w:p>
        </w:tc>
        <w:tc>
          <w:tcPr>
            <w:tcW w:w="1426"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40454.95 </w:t>
            </w:r>
          </w:p>
        </w:tc>
        <w:tc>
          <w:tcPr>
            <w:tcW w:w="1426"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43646.97 </w:t>
            </w:r>
          </w:p>
        </w:tc>
        <w:tc>
          <w:tcPr>
            <w:tcW w:w="1426"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132439.88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889" w:type="dxa"/>
            <w:tcBorders>
              <w:top w:val="nil"/>
              <w:left w:val="nil"/>
              <w:bottom w:val="nil"/>
              <w:right w:val="nil"/>
            </w:tcBorders>
            <w:vAlign w:val="center"/>
          </w:tcPr>
          <w:p>
            <w:pPr>
              <w:ind w:firstLine="0" w:firstLineChars="0"/>
              <w:jc w:val="center"/>
              <w:rPr>
                <w:rFonts w:hint="eastAsia" w:ascii="Times New Roman" w:hAnsi="Times New Roman" w:eastAsia="宋体" w:cs="Times New Roman"/>
                <w:sz w:val="21"/>
                <w:szCs w:val="21"/>
                <w:lang w:eastAsia="zh-CN"/>
              </w:rPr>
            </w:pPr>
            <w:r>
              <w:rPr>
                <w:rFonts w:hint="eastAsia" w:ascii="Times New Roman" w:hAnsi="Times New Roman" w:cs="Times New Roman"/>
                <w:sz w:val="21"/>
                <w:szCs w:val="21"/>
                <w:lang w:val="en-US" w:eastAsia="zh-CN"/>
              </w:rPr>
              <w:t>其他应收款</w:t>
            </w:r>
          </w:p>
        </w:tc>
        <w:tc>
          <w:tcPr>
            <w:tcW w:w="1426"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6978.80 </w:t>
            </w:r>
          </w:p>
        </w:tc>
        <w:tc>
          <w:tcPr>
            <w:tcW w:w="1426"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11627.45 </w:t>
            </w:r>
          </w:p>
        </w:tc>
        <w:tc>
          <w:tcPr>
            <w:tcW w:w="1426"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14924.76 </w:t>
            </w:r>
          </w:p>
        </w:tc>
        <w:tc>
          <w:tcPr>
            <w:tcW w:w="1426"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30862.19 </w:t>
            </w:r>
          </w:p>
        </w:tc>
        <w:tc>
          <w:tcPr>
            <w:tcW w:w="1426"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33823.79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889" w:type="dxa"/>
            <w:tcBorders>
              <w:top w:val="nil"/>
              <w:left w:val="nil"/>
              <w:bottom w:val="nil"/>
              <w:right w:val="nil"/>
            </w:tcBorders>
            <w:vAlign w:val="center"/>
          </w:tcPr>
          <w:p>
            <w:pPr>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应付职工薪酬</w:t>
            </w:r>
          </w:p>
        </w:tc>
        <w:tc>
          <w:tcPr>
            <w:tcW w:w="1426"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18078.02 </w:t>
            </w:r>
          </w:p>
        </w:tc>
        <w:tc>
          <w:tcPr>
            <w:tcW w:w="1426"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32372.40 </w:t>
            </w:r>
          </w:p>
        </w:tc>
        <w:tc>
          <w:tcPr>
            <w:tcW w:w="1426"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48320.01 </w:t>
            </w:r>
          </w:p>
        </w:tc>
        <w:tc>
          <w:tcPr>
            <w:tcW w:w="1426"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84066.33 </w:t>
            </w:r>
          </w:p>
        </w:tc>
        <w:tc>
          <w:tcPr>
            <w:tcW w:w="1426"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142341.74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889" w:type="dxa"/>
            <w:tcBorders>
              <w:top w:val="nil"/>
              <w:left w:val="nil"/>
              <w:bottom w:val="nil"/>
              <w:right w:val="nil"/>
            </w:tcBorders>
            <w:vAlign w:val="center"/>
          </w:tcPr>
          <w:p>
            <w:pPr>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其他应付款</w:t>
            </w:r>
          </w:p>
        </w:tc>
        <w:tc>
          <w:tcPr>
            <w:tcW w:w="1426"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32206.60 </w:t>
            </w:r>
          </w:p>
        </w:tc>
        <w:tc>
          <w:tcPr>
            <w:tcW w:w="1426"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24962.25 </w:t>
            </w:r>
          </w:p>
        </w:tc>
        <w:tc>
          <w:tcPr>
            <w:tcW w:w="1426"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18884.12 </w:t>
            </w:r>
          </w:p>
        </w:tc>
        <w:tc>
          <w:tcPr>
            <w:tcW w:w="1426"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12013.50 </w:t>
            </w:r>
          </w:p>
        </w:tc>
        <w:tc>
          <w:tcPr>
            <w:tcW w:w="1426"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35239.03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889" w:type="dxa"/>
            <w:tcBorders>
              <w:top w:val="nil"/>
              <w:left w:val="nil"/>
              <w:bottom w:val="single" w:color="auto" w:sz="12" w:space="0"/>
              <w:right w:val="nil"/>
            </w:tcBorders>
            <w:vAlign w:val="center"/>
          </w:tcPr>
          <w:p>
            <w:pPr>
              <w:ind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占用的营运资金</w:t>
            </w:r>
          </w:p>
        </w:tc>
        <w:tc>
          <w:tcPr>
            <w:tcW w:w="1426"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-36033.27 </w:t>
            </w:r>
          </w:p>
        </w:tc>
        <w:tc>
          <w:tcPr>
            <w:tcW w:w="1426"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-21644.92 </w:t>
            </w:r>
          </w:p>
        </w:tc>
        <w:tc>
          <w:tcPr>
            <w:tcW w:w="1426"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-11824.41 </w:t>
            </w:r>
          </w:p>
        </w:tc>
        <w:tc>
          <w:tcPr>
            <w:tcW w:w="1426"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-21570.66 </w:t>
            </w:r>
          </w:p>
        </w:tc>
        <w:tc>
          <w:tcPr>
            <w:tcW w:w="1426"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-11317.09 </w:t>
            </w:r>
          </w:p>
        </w:tc>
      </w:tr>
    </w:tbl>
    <w:p>
      <w:pPr>
        <w:keepNext w:val="0"/>
        <w:keepLines w:val="0"/>
        <w:pageBreakBefore w:val="0"/>
        <w:widowControl/>
        <w:kinsoku/>
        <w:wordWrap/>
        <w:overflowPunct/>
        <w:topLinePunct w:val="0"/>
        <w:autoSpaceDE/>
        <w:autoSpaceDN/>
        <w:bidi w:val="0"/>
        <w:adjustRightInd/>
        <w:snapToGrid/>
        <w:spacing w:line="360" w:lineRule="auto"/>
        <w:ind w:firstLine="352" w:firstLineChars="200"/>
        <w:textAlignment w:val="auto"/>
        <w:rPr>
          <w:rFonts w:hint="default" w:ascii="宋体" w:hAnsi="宋体" w:cs="宋体"/>
          <w:sz w:val="18"/>
          <w:szCs w:val="18"/>
          <w:highlight w:val="none"/>
          <w:lang w:val="en-US" w:eastAsia="zh-CN"/>
        </w:rPr>
      </w:pPr>
      <w:r>
        <w:rPr>
          <w:rFonts w:hint="eastAsia" w:ascii="宋体" w:hAnsi="宋体" w:eastAsia="宋体" w:cs="宋体"/>
          <w:sz w:val="18"/>
          <w:szCs w:val="18"/>
          <w:highlight w:val="none"/>
        </w:rPr>
        <w:t>资料来源：节选自</w:t>
      </w:r>
      <w:r>
        <w:rPr>
          <w:rFonts w:hint="eastAsia" w:ascii="宋体" w:hAnsi="宋体" w:cs="宋体"/>
          <w:sz w:val="18"/>
          <w:szCs w:val="18"/>
          <w:highlight w:val="none"/>
          <w:lang w:val="en-US" w:eastAsia="zh-CN"/>
        </w:rPr>
        <w:t>立讯精密2015—2019财务报表</w:t>
      </w:r>
    </w:p>
    <w:p>
      <w:pPr>
        <w:pStyle w:val="22"/>
        <w:shd w:val="clear" w:color="auto" w:fill="FFFFFF"/>
        <w:spacing w:line="360" w:lineRule="auto"/>
        <w:ind w:firstLine="420" w:firstLineChars="200"/>
        <w:jc w:val="right"/>
      </w:pPr>
      <w:r>
        <w:rPr>
          <w:rFonts w:hint="eastAsia" w:ascii="黑体" w:hAnsi="黑体" w:eastAsia="黑体" w:cs="黑体"/>
          <w:sz w:val="21"/>
          <w:szCs w:val="21"/>
          <w:highlight w:val="none"/>
        </w:rPr>
        <w:t>表 3-</w:t>
      </w:r>
      <w:r>
        <w:rPr>
          <w:rFonts w:hint="eastAsia" w:ascii="黑体" w:hAnsi="黑体" w:eastAsia="黑体" w:cs="黑体"/>
          <w:sz w:val="21"/>
          <w:szCs w:val="21"/>
          <w:highlight w:val="none"/>
          <w:lang w:val="en-US" w:eastAsia="zh-CN"/>
        </w:rPr>
        <w:t xml:space="preserve">10  </w:t>
      </w:r>
      <w:r>
        <w:rPr>
          <w:rFonts w:hint="eastAsia" w:ascii="黑体" w:hAnsi="黑体" w:eastAsia="黑体" w:cs="黑体"/>
          <w:sz w:val="21"/>
          <w:szCs w:val="21"/>
          <w:lang w:val="en-US" w:eastAsia="zh-CN"/>
        </w:rPr>
        <w:t>生产渠道营运资金周转期</w:t>
      </w:r>
      <w:r>
        <w:rPr>
          <w:rFonts w:ascii="黑体" w:hAnsi="黑体" w:eastAsia="黑体" w:cs="黑体"/>
          <w:sz w:val="21"/>
          <w:szCs w:val="21"/>
        </w:rPr>
        <w:t xml:space="preserve"> </w:t>
      </w:r>
      <w:r>
        <w:rPr>
          <w:rFonts w:hint="eastAsia" w:ascii="黑体" w:hAnsi="黑体" w:eastAsia="黑体" w:cs="黑体"/>
          <w:sz w:val="21"/>
          <w:szCs w:val="21"/>
        </w:rPr>
        <w:t xml:space="preserve">           </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 xml:space="preserve">     单位：</w:t>
      </w:r>
      <w:r>
        <w:rPr>
          <w:rFonts w:hint="eastAsia" w:ascii="黑体" w:hAnsi="黑体" w:eastAsia="黑体" w:cs="黑体"/>
          <w:sz w:val="21"/>
          <w:szCs w:val="21"/>
          <w:lang w:val="en-US" w:eastAsia="zh-CN"/>
        </w:rPr>
        <w:t>万</w:t>
      </w:r>
      <w:r>
        <w:rPr>
          <w:rFonts w:hint="eastAsia" w:ascii="黑体" w:hAnsi="黑体" w:eastAsia="黑体" w:cs="黑体"/>
          <w:sz w:val="21"/>
          <w:szCs w:val="21"/>
        </w:rPr>
        <w:t>元</w:t>
      </w:r>
    </w:p>
    <w:tbl>
      <w:tblPr>
        <w:tblStyle w:val="25"/>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7"/>
        <w:gridCol w:w="1432"/>
        <w:gridCol w:w="1432"/>
        <w:gridCol w:w="1432"/>
        <w:gridCol w:w="1432"/>
        <w:gridCol w:w="1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897"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val="en-US" w:eastAsia="zh-CN"/>
              </w:rPr>
              <w:t>项目</w:t>
            </w:r>
          </w:p>
        </w:tc>
        <w:tc>
          <w:tcPr>
            <w:tcW w:w="1432"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2015</w:t>
            </w:r>
          </w:p>
        </w:tc>
        <w:tc>
          <w:tcPr>
            <w:tcW w:w="1432"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2016</w:t>
            </w:r>
          </w:p>
        </w:tc>
        <w:tc>
          <w:tcPr>
            <w:tcW w:w="1432"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2017</w:t>
            </w:r>
          </w:p>
        </w:tc>
        <w:tc>
          <w:tcPr>
            <w:tcW w:w="1432"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2018</w:t>
            </w:r>
          </w:p>
        </w:tc>
        <w:tc>
          <w:tcPr>
            <w:tcW w:w="1432"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897" w:type="dxa"/>
            <w:tcBorders>
              <w:top w:val="single" w:color="auto" w:sz="4" w:space="0"/>
              <w:left w:val="nil"/>
              <w:bottom w:val="nil"/>
              <w:right w:val="nil"/>
            </w:tcBorders>
            <w:vAlign w:val="center"/>
          </w:tcPr>
          <w:p>
            <w:pPr>
              <w:ind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销售收入</w:t>
            </w:r>
          </w:p>
        </w:tc>
        <w:tc>
          <w:tcPr>
            <w:tcW w:w="1432"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1002960.11 </w:t>
            </w:r>
          </w:p>
        </w:tc>
        <w:tc>
          <w:tcPr>
            <w:tcW w:w="1432"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1352853.81 </w:t>
            </w:r>
          </w:p>
        </w:tc>
        <w:tc>
          <w:tcPr>
            <w:tcW w:w="1432"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2216526.36 </w:t>
            </w:r>
          </w:p>
        </w:tc>
        <w:tc>
          <w:tcPr>
            <w:tcW w:w="1432"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3539016.96 </w:t>
            </w:r>
          </w:p>
        </w:tc>
        <w:tc>
          <w:tcPr>
            <w:tcW w:w="1432"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6209916.66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897" w:type="dxa"/>
            <w:tcBorders>
              <w:top w:val="nil"/>
              <w:left w:val="nil"/>
              <w:bottom w:val="nil"/>
              <w:right w:val="nil"/>
            </w:tcBorders>
            <w:vAlign w:val="center"/>
          </w:tcPr>
          <w:p>
            <w:pPr>
              <w:ind w:firstLine="0" w:firstLineChars="0"/>
              <w:jc w:val="center"/>
              <w:rPr>
                <w:rFonts w:hint="eastAsia" w:ascii="Times New Roman" w:hAnsi="Times New Roman" w:eastAsia="宋体" w:cs="Times New Roman"/>
                <w:sz w:val="21"/>
                <w:szCs w:val="21"/>
                <w:highlight w:val="none"/>
                <w:lang w:eastAsia="zh-CN"/>
              </w:rPr>
            </w:pPr>
            <w:r>
              <w:rPr>
                <w:rFonts w:hint="eastAsia" w:ascii="Times New Roman" w:hAnsi="Times New Roman" w:cs="Times New Roman"/>
                <w:sz w:val="21"/>
                <w:szCs w:val="21"/>
                <w:highlight w:val="none"/>
                <w:lang w:val="en-US" w:eastAsia="zh-CN"/>
              </w:rPr>
              <w:t>占用的营运资金</w:t>
            </w:r>
          </w:p>
        </w:tc>
        <w:tc>
          <w:tcPr>
            <w:tcW w:w="1432"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-36033.27 </w:t>
            </w:r>
          </w:p>
        </w:tc>
        <w:tc>
          <w:tcPr>
            <w:tcW w:w="1432"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-21644.92 </w:t>
            </w:r>
          </w:p>
        </w:tc>
        <w:tc>
          <w:tcPr>
            <w:tcW w:w="1432"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-11824.41 </w:t>
            </w:r>
          </w:p>
        </w:tc>
        <w:tc>
          <w:tcPr>
            <w:tcW w:w="1432"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-21570.66 </w:t>
            </w:r>
          </w:p>
        </w:tc>
        <w:tc>
          <w:tcPr>
            <w:tcW w:w="1432"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-11317.09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897" w:type="dxa"/>
            <w:tcBorders>
              <w:top w:val="nil"/>
              <w:left w:val="nil"/>
              <w:bottom w:val="single" w:color="auto" w:sz="12" w:space="0"/>
              <w:right w:val="nil"/>
            </w:tcBorders>
            <w:vAlign w:val="center"/>
          </w:tcPr>
          <w:p>
            <w:pPr>
              <w:ind w:firstLine="0" w:firstLine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营运资金周转期</w:t>
            </w:r>
          </w:p>
        </w:tc>
        <w:tc>
          <w:tcPr>
            <w:tcW w:w="1432"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-13.11</w:t>
            </w:r>
          </w:p>
        </w:tc>
        <w:tc>
          <w:tcPr>
            <w:tcW w:w="1432"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-5.84</w:t>
            </w:r>
          </w:p>
        </w:tc>
        <w:tc>
          <w:tcPr>
            <w:tcW w:w="1432"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-1.95</w:t>
            </w:r>
          </w:p>
        </w:tc>
        <w:tc>
          <w:tcPr>
            <w:tcW w:w="1432"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-2.22</w:t>
            </w:r>
          </w:p>
        </w:tc>
        <w:tc>
          <w:tcPr>
            <w:tcW w:w="1432"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-0.67</w:t>
            </w:r>
          </w:p>
        </w:tc>
      </w:tr>
    </w:tbl>
    <w:p>
      <w:pPr>
        <w:keepNext w:val="0"/>
        <w:keepLines w:val="0"/>
        <w:pageBreakBefore w:val="0"/>
        <w:widowControl/>
        <w:kinsoku/>
        <w:wordWrap/>
        <w:overflowPunct/>
        <w:topLinePunct w:val="0"/>
        <w:autoSpaceDE/>
        <w:autoSpaceDN/>
        <w:bidi w:val="0"/>
        <w:adjustRightInd/>
        <w:snapToGrid/>
        <w:spacing w:line="360" w:lineRule="auto"/>
        <w:ind w:firstLine="352" w:firstLineChars="200"/>
        <w:textAlignment w:val="auto"/>
        <w:rPr>
          <w:rFonts w:hint="eastAsia" w:ascii="宋体" w:hAnsi="宋体" w:cs="宋体"/>
          <w:sz w:val="18"/>
          <w:szCs w:val="18"/>
          <w:highlight w:val="none"/>
          <w:lang w:val="en-US" w:eastAsia="zh-CN"/>
        </w:rPr>
      </w:pPr>
      <w:r>
        <w:rPr>
          <w:rFonts w:hint="eastAsia" w:ascii="宋体" w:hAnsi="宋体" w:eastAsia="宋体" w:cs="宋体"/>
          <w:sz w:val="18"/>
          <w:szCs w:val="18"/>
          <w:highlight w:val="none"/>
        </w:rPr>
        <w:t>资料来源：节选自</w:t>
      </w:r>
      <w:r>
        <w:rPr>
          <w:rFonts w:hint="eastAsia" w:ascii="宋体" w:hAnsi="宋体" w:cs="宋体"/>
          <w:sz w:val="18"/>
          <w:szCs w:val="18"/>
          <w:highlight w:val="none"/>
          <w:lang w:val="en-US" w:eastAsia="zh-CN"/>
        </w:rPr>
        <w:t>立讯精密2015—2019财务报表</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由表格</w:t>
      </w:r>
      <w:r>
        <w:rPr>
          <w:rFonts w:hint="eastAsia" w:ascii="Times New Roman" w:hAnsi="Times New Roman" w:cs="Times New Roman"/>
          <w:sz w:val="24"/>
          <w:highlight w:val="none"/>
          <w:lang w:val="en-US" w:eastAsia="zh-CN"/>
        </w:rPr>
        <w:t>3-10</w:t>
      </w:r>
      <w:r>
        <w:rPr>
          <w:rFonts w:hint="eastAsia" w:ascii="宋体" w:hAnsi="宋体" w:cs="宋体"/>
          <w:sz w:val="24"/>
          <w:highlight w:val="none"/>
          <w:lang w:val="en-US" w:eastAsia="zh-CN"/>
        </w:rPr>
        <w:t>可以得出，</w:t>
      </w:r>
      <w:r>
        <w:rPr>
          <w:rFonts w:hint="eastAsia" w:ascii="Times New Roman" w:hAnsi="Times New Roman" w:cs="Times New Roman"/>
          <w:sz w:val="24"/>
          <w:highlight w:val="none"/>
          <w:lang w:val="en-US" w:eastAsia="zh-CN"/>
        </w:rPr>
        <w:t>2015——2017</w:t>
      </w:r>
      <w:r>
        <w:rPr>
          <w:rFonts w:hint="eastAsia" w:ascii="宋体" w:hAnsi="宋体" w:cs="宋体"/>
          <w:sz w:val="24"/>
          <w:highlight w:val="none"/>
          <w:lang w:val="en-US" w:eastAsia="zh-CN"/>
        </w:rPr>
        <w:t>年，立讯精密生产环节营运资金为下降趋势，</w:t>
      </w:r>
      <w:r>
        <w:rPr>
          <w:rFonts w:hint="eastAsia" w:ascii="Times New Roman" w:hAnsi="Times New Roman" w:cs="Times New Roman"/>
          <w:sz w:val="24"/>
          <w:highlight w:val="none"/>
          <w:lang w:val="en-US" w:eastAsia="zh-CN"/>
        </w:rPr>
        <w:t>2018</w:t>
      </w:r>
      <w:r>
        <w:rPr>
          <w:rFonts w:hint="eastAsia" w:ascii="宋体" w:hAnsi="宋体" w:cs="宋体"/>
          <w:sz w:val="24"/>
          <w:highlight w:val="none"/>
          <w:lang w:val="en-US" w:eastAsia="zh-CN"/>
        </w:rPr>
        <w:t>年回升后又继续下降，说明企业在生产环节营运资金未能得到有效把控，整体变动较大，对企业管理产生不良影响。</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default" w:ascii="Times New Roman" w:hAnsi="Times New Roman" w:cs="Times New Roman"/>
          <w:sz w:val="24"/>
          <w:highlight w:val="none"/>
          <w:lang w:val="en-US" w:eastAsia="zh-CN"/>
        </w:rPr>
        <w:t>（1）</w:t>
      </w:r>
      <w:r>
        <w:rPr>
          <w:rFonts w:hint="eastAsia" w:ascii="宋体" w:hAnsi="宋体" w:cs="宋体"/>
          <w:sz w:val="24"/>
          <w:highlight w:val="none"/>
          <w:lang w:val="en-US" w:eastAsia="zh-CN"/>
        </w:rPr>
        <w:t>在产品分析</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default" w:ascii="宋体" w:hAnsi="宋体" w:cs="宋体"/>
          <w:sz w:val="24"/>
          <w:highlight w:val="none"/>
          <w:lang w:val="en-US" w:eastAsia="zh-CN"/>
        </w:rPr>
      </w:pPr>
      <w:r>
        <w:rPr>
          <w:rFonts w:hint="eastAsia" w:ascii="宋体" w:hAnsi="宋体" w:cs="宋体"/>
          <w:sz w:val="24"/>
          <w:highlight w:val="none"/>
          <w:lang w:val="en-US" w:eastAsia="zh-CN"/>
        </w:rPr>
        <w:t>在产品是生产过程中的一种产品状态，这种状态的产品，既不能用作直接销售，也不能作为原材料售出，对于连接器制造业，所生产的产品由不断更新换代的电子消费品决定，所以应对在产品存货加大控制，避免因外界因素导致生产受阻，出现大量积压。另外，消费者对于个性化产品的需求不断增长，过量的在产品很可能在未生产完毕就已经被消费者淘汰，而以往的生产模式所生产出的产品会大大贬值，使大量产品资金无法流通到企业。由表格中数据可以得出，立讯精密年度在产品数量在</w:t>
      </w:r>
      <w:r>
        <w:rPr>
          <w:rFonts w:hint="eastAsia" w:ascii="Times New Roman" w:hAnsi="Times New Roman" w:cs="Times New Roman"/>
          <w:sz w:val="24"/>
          <w:highlight w:val="none"/>
          <w:lang w:val="en-US" w:eastAsia="zh-CN"/>
        </w:rPr>
        <w:t>2016</w:t>
      </w:r>
      <w:r>
        <w:rPr>
          <w:rFonts w:hint="eastAsia" w:ascii="宋体" w:hAnsi="宋体" w:cs="宋体"/>
          <w:sz w:val="24"/>
          <w:highlight w:val="none"/>
          <w:lang w:val="en-US" w:eastAsia="zh-CN"/>
        </w:rPr>
        <w:t>年出现了缓解，但在接下来的三年，持续增长，在</w:t>
      </w:r>
      <w:r>
        <w:rPr>
          <w:rFonts w:hint="eastAsia" w:ascii="Times New Roman" w:hAnsi="Times New Roman" w:cs="Times New Roman"/>
          <w:sz w:val="24"/>
          <w:highlight w:val="none"/>
          <w:lang w:val="en-US" w:eastAsia="zh-CN"/>
        </w:rPr>
        <w:t>2019</w:t>
      </w:r>
      <w:r>
        <w:rPr>
          <w:rFonts w:hint="eastAsia" w:ascii="宋体" w:hAnsi="宋体" w:cs="宋体"/>
          <w:sz w:val="24"/>
          <w:highlight w:val="none"/>
          <w:lang w:val="en-US" w:eastAsia="zh-CN"/>
        </w:rPr>
        <w:t>年达到了五年最高值，表明该年度企业生产模式对在产品存货积压影响较大。</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Times New Roman" w:hAnsi="Times New Roman" w:cs="Times New Roman"/>
          <w:sz w:val="24"/>
          <w:highlight w:val="none"/>
          <w:lang w:val="en-US" w:eastAsia="zh-CN"/>
        </w:rPr>
        <w:t>（2）</w:t>
      </w:r>
      <w:r>
        <w:rPr>
          <w:rFonts w:hint="eastAsia" w:ascii="宋体" w:hAnsi="宋体" w:cs="宋体"/>
          <w:sz w:val="24"/>
          <w:highlight w:val="none"/>
          <w:lang w:val="en-US" w:eastAsia="zh-CN"/>
        </w:rPr>
        <w:t>应付职工薪酬的分析</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立讯精密作为连接器巨头企业，尽管工厂有一定的自动化水平，但随着业务量的不断扩增，所含设备数量上升，掌控机器设备的技术人员、生产人员需求量也较大，对应的应付职工薪酬余额也出现较大增长。根据具体数据分析，在</w:t>
      </w:r>
      <w:r>
        <w:rPr>
          <w:rFonts w:hint="eastAsia" w:ascii="Times New Roman" w:hAnsi="Times New Roman" w:cs="Times New Roman"/>
          <w:sz w:val="24"/>
          <w:highlight w:val="none"/>
          <w:lang w:val="en-US" w:eastAsia="zh-CN"/>
        </w:rPr>
        <w:t>2015</w:t>
      </w:r>
      <w:r>
        <w:rPr>
          <w:rFonts w:hint="eastAsia" w:ascii="宋体" w:hAnsi="宋体" w:cs="宋体"/>
          <w:sz w:val="24"/>
          <w:highlight w:val="none"/>
          <w:lang w:val="en-US" w:eastAsia="zh-CN"/>
        </w:rPr>
        <w:t>年至</w:t>
      </w:r>
      <w:r>
        <w:rPr>
          <w:rFonts w:hint="eastAsia" w:ascii="Times New Roman" w:hAnsi="Times New Roman" w:cs="Times New Roman"/>
          <w:sz w:val="24"/>
          <w:highlight w:val="none"/>
          <w:lang w:val="en-US" w:eastAsia="zh-CN"/>
        </w:rPr>
        <w:t>2019</w:t>
      </w:r>
      <w:r>
        <w:rPr>
          <w:rFonts w:hint="eastAsia" w:ascii="宋体" w:hAnsi="宋体" w:cs="宋体"/>
          <w:sz w:val="24"/>
          <w:highlight w:val="none"/>
          <w:lang w:val="en-US" w:eastAsia="zh-CN"/>
        </w:rPr>
        <w:t>年中，立讯精密应付职工薪酬由原来的</w:t>
      </w:r>
      <w:r>
        <w:rPr>
          <w:rFonts w:hint="default" w:ascii="Times New Roman" w:hAnsi="Times New Roman" w:cs="Times New Roman"/>
          <w:sz w:val="24"/>
          <w:highlight w:val="none"/>
          <w:lang w:val="en-US" w:eastAsia="zh-CN"/>
        </w:rPr>
        <w:t>18078.02</w:t>
      </w:r>
      <w:r>
        <w:rPr>
          <w:rFonts w:hint="eastAsia" w:ascii="Times New Roman" w:hAnsi="Times New Roman" w:cs="Times New Roman"/>
          <w:i w:val="0"/>
          <w:color w:val="000000"/>
          <w:spacing w:val="-2"/>
          <w:kern w:val="0"/>
          <w:sz w:val="21"/>
          <w:szCs w:val="21"/>
          <w:u w:val="none"/>
          <w:lang w:val="en-US" w:eastAsia="zh-CN" w:bidi="ar"/>
        </w:rPr>
        <w:t>万</w:t>
      </w:r>
      <w:r>
        <w:rPr>
          <w:rFonts w:hint="eastAsia" w:ascii="宋体" w:hAnsi="宋体" w:cs="宋体"/>
          <w:sz w:val="24"/>
          <w:highlight w:val="none"/>
          <w:lang w:val="en-US" w:eastAsia="zh-CN"/>
        </w:rPr>
        <w:t>元增长至</w:t>
      </w:r>
      <w:r>
        <w:rPr>
          <w:rFonts w:hint="default" w:ascii="Times New Roman" w:hAnsi="Times New Roman" w:cs="Times New Roman"/>
          <w:sz w:val="24"/>
          <w:highlight w:val="none"/>
          <w:lang w:val="en-US" w:eastAsia="zh-CN"/>
        </w:rPr>
        <w:t>142341.74</w:t>
      </w:r>
      <w:r>
        <w:rPr>
          <w:rFonts w:hint="eastAsia" w:ascii="Times New Roman" w:hAnsi="Times New Roman" w:cs="Times New Roman"/>
          <w:i w:val="0"/>
          <w:color w:val="000000"/>
          <w:spacing w:val="-2"/>
          <w:kern w:val="0"/>
          <w:sz w:val="21"/>
          <w:szCs w:val="21"/>
          <w:u w:val="none"/>
          <w:lang w:val="en-US" w:eastAsia="zh-CN" w:bidi="ar"/>
        </w:rPr>
        <w:t>万</w:t>
      </w:r>
      <w:r>
        <w:rPr>
          <w:rFonts w:hint="eastAsia" w:ascii="宋体" w:hAnsi="宋体" w:cs="宋体"/>
          <w:sz w:val="24"/>
          <w:highlight w:val="none"/>
          <w:lang w:val="en-US" w:eastAsia="zh-CN"/>
        </w:rPr>
        <w:t>元，可见，人力成本消耗较多，企业需要不断的在人力上投入较大资金。</w:t>
      </w:r>
    </w:p>
    <w:p>
      <w:pPr>
        <w:pStyle w:val="5"/>
        <w:keepNext/>
        <w:keepLines/>
        <w:pageBreakBefore w:val="0"/>
        <w:widowControl/>
        <w:numPr>
          <w:ilvl w:val="0"/>
          <w:numId w:val="0"/>
        </w:numPr>
        <w:kinsoku/>
        <w:wordWrap/>
        <w:overflowPunct/>
        <w:topLinePunct w:val="0"/>
        <w:autoSpaceDE/>
        <w:autoSpaceDN/>
        <w:bidi w:val="0"/>
        <w:adjustRightInd/>
        <w:snapToGrid/>
        <w:spacing w:before="0" w:after="0" w:line="360" w:lineRule="auto"/>
        <w:ind w:firstLine="552" w:firstLineChars="200"/>
        <w:textAlignment w:val="auto"/>
        <w:rPr>
          <w:rFonts w:hint="eastAsia" w:ascii="黑体" w:hAnsi="黑体" w:eastAsia="黑体" w:cs="黑体"/>
          <w:b w:val="0"/>
          <w:bCs w:val="0"/>
          <w:sz w:val="28"/>
          <w:szCs w:val="28"/>
          <w:lang w:val="en-US" w:eastAsia="zh-CN"/>
        </w:rPr>
      </w:pPr>
      <w:bookmarkStart w:id="73" w:name="_Toc32162"/>
      <w:r>
        <w:rPr>
          <w:rFonts w:hint="eastAsia" w:ascii="黑体" w:hAnsi="黑体" w:cs="黑体"/>
          <w:b w:val="0"/>
          <w:bCs w:val="0"/>
          <w:sz w:val="28"/>
          <w:szCs w:val="28"/>
          <w:lang w:val="en-US" w:eastAsia="zh-CN"/>
        </w:rPr>
        <w:t>3.营销</w:t>
      </w:r>
      <w:r>
        <w:rPr>
          <w:rFonts w:hint="eastAsia" w:ascii="黑体" w:hAnsi="黑体" w:eastAsia="黑体" w:cs="黑体"/>
          <w:b w:val="0"/>
          <w:bCs w:val="0"/>
          <w:sz w:val="28"/>
          <w:szCs w:val="28"/>
          <w:lang w:val="en-US" w:eastAsia="zh-CN"/>
        </w:rPr>
        <w:t>渠道营运资金管理分析</w:t>
      </w:r>
      <w:bookmarkEnd w:id="73"/>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营销渠道营运资金管理是通过销售，获得现金流入，以此实现资金周转目的管理行为。对营运资金管理有以下关系，产成品、应收款项占比越大，营销渠道周转期越长，营运资金管理效率越低。预收账款、应交税费占比越大，周转期越短，资金管理效率越高。项目资金公式如下，具体数据见下表</w:t>
      </w:r>
      <w:r>
        <w:rPr>
          <w:rFonts w:hint="eastAsia" w:ascii="Times New Roman" w:hAnsi="Times New Roman" w:cs="Times New Roman"/>
          <w:sz w:val="24"/>
          <w:highlight w:val="none"/>
          <w:lang w:val="en-US" w:eastAsia="zh-CN"/>
        </w:rPr>
        <w:t>3-11</w:t>
      </w:r>
      <w:r>
        <w:rPr>
          <w:rFonts w:hint="eastAsia" w:ascii="宋体" w:hAnsi="宋体" w:cs="宋体"/>
          <w:sz w:val="24"/>
          <w:highlight w:val="none"/>
          <w:lang w:val="en-US" w:eastAsia="zh-CN"/>
        </w:rPr>
        <w:t xml:space="preserve">： </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营销渠道营运资金 = 产成品+应收账款、应收票据-预收账款-应交税费</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营销渠道营运资金周转期 = 营销渠道营运资金/(全年销售收入/</w:t>
      </w:r>
      <w:r>
        <w:rPr>
          <w:rFonts w:hint="eastAsia" w:ascii="Times New Roman" w:hAnsi="Times New Roman" w:cs="Times New Roman"/>
          <w:sz w:val="24"/>
          <w:highlight w:val="none"/>
          <w:lang w:val="en-US" w:eastAsia="zh-CN"/>
        </w:rPr>
        <w:t>365</w:t>
      </w:r>
      <w:r>
        <w:rPr>
          <w:rFonts w:hint="eastAsia" w:ascii="宋体" w:hAnsi="宋体" w:cs="宋体"/>
          <w:sz w:val="24"/>
          <w:highlight w:val="none"/>
          <w:lang w:val="en-US" w:eastAsia="zh-CN"/>
        </w:rPr>
        <w:t>)</w:t>
      </w:r>
    </w:p>
    <w:p>
      <w:pPr>
        <w:pStyle w:val="22"/>
        <w:shd w:val="clear" w:color="auto" w:fill="FFFFFF"/>
        <w:spacing w:line="360" w:lineRule="auto"/>
        <w:ind w:firstLine="420" w:firstLineChars="200"/>
        <w:jc w:val="right"/>
      </w:pPr>
      <w:r>
        <w:rPr>
          <w:rFonts w:hint="eastAsia" w:ascii="黑体" w:hAnsi="黑体" w:eastAsia="黑体" w:cs="黑体"/>
          <w:sz w:val="21"/>
          <w:szCs w:val="21"/>
          <w:highlight w:val="none"/>
        </w:rPr>
        <w:t>表 3-</w:t>
      </w:r>
      <w:r>
        <w:rPr>
          <w:rFonts w:hint="eastAsia" w:ascii="黑体" w:hAnsi="黑体" w:eastAsia="黑体" w:cs="黑体"/>
          <w:sz w:val="21"/>
          <w:szCs w:val="21"/>
          <w:highlight w:val="none"/>
          <w:lang w:val="en-US" w:eastAsia="zh-CN"/>
        </w:rPr>
        <w:t xml:space="preserve">11  </w:t>
      </w:r>
      <w:r>
        <w:rPr>
          <w:rFonts w:hint="eastAsia" w:ascii="黑体" w:hAnsi="黑体" w:eastAsia="黑体" w:cs="黑体"/>
          <w:sz w:val="21"/>
          <w:szCs w:val="21"/>
          <w:lang w:val="en-US" w:eastAsia="zh-CN"/>
        </w:rPr>
        <w:t>营销渠道占用的营运资金</w:t>
      </w:r>
      <w:r>
        <w:rPr>
          <w:rFonts w:hint="eastAsia" w:ascii="黑体" w:hAnsi="黑体" w:eastAsia="黑体" w:cs="黑体"/>
          <w:sz w:val="21"/>
          <w:szCs w:val="21"/>
        </w:rPr>
        <w:t xml:space="preserve">                   单位：</w:t>
      </w:r>
      <w:r>
        <w:rPr>
          <w:rFonts w:hint="eastAsia" w:ascii="黑体" w:hAnsi="黑体" w:eastAsia="黑体" w:cs="黑体"/>
          <w:sz w:val="21"/>
          <w:szCs w:val="21"/>
          <w:lang w:val="en-US" w:eastAsia="zh-CN"/>
        </w:rPr>
        <w:t>万</w:t>
      </w:r>
      <w:r>
        <w:rPr>
          <w:rFonts w:hint="eastAsia" w:ascii="黑体" w:hAnsi="黑体" w:eastAsia="黑体" w:cs="黑体"/>
          <w:sz w:val="21"/>
          <w:szCs w:val="21"/>
        </w:rPr>
        <w:t>元</w:t>
      </w:r>
    </w:p>
    <w:tbl>
      <w:tblPr>
        <w:tblStyle w:val="25"/>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1435"/>
        <w:gridCol w:w="1435"/>
        <w:gridCol w:w="1435"/>
        <w:gridCol w:w="1435"/>
        <w:gridCol w:w="1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01"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项目</w:t>
            </w:r>
          </w:p>
        </w:tc>
        <w:tc>
          <w:tcPr>
            <w:tcW w:w="1435"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2015</w:t>
            </w:r>
          </w:p>
        </w:tc>
        <w:tc>
          <w:tcPr>
            <w:tcW w:w="1435"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2016</w:t>
            </w:r>
          </w:p>
        </w:tc>
        <w:tc>
          <w:tcPr>
            <w:tcW w:w="1435"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2017</w:t>
            </w:r>
          </w:p>
        </w:tc>
        <w:tc>
          <w:tcPr>
            <w:tcW w:w="1435"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2018</w:t>
            </w:r>
          </w:p>
        </w:tc>
        <w:tc>
          <w:tcPr>
            <w:tcW w:w="1435"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01" w:type="dxa"/>
            <w:tcBorders>
              <w:top w:val="single" w:color="auto" w:sz="4" w:space="0"/>
              <w:left w:val="nil"/>
              <w:bottom w:val="nil"/>
              <w:right w:val="nil"/>
            </w:tcBorders>
            <w:vAlign w:val="center"/>
          </w:tcPr>
          <w:p>
            <w:pPr>
              <w:ind w:firstLine="0" w:firstLineChars="0"/>
              <w:jc w:val="center"/>
              <w:rPr>
                <w:rFonts w:hint="eastAsia" w:ascii="宋体" w:hAnsi="宋体" w:eastAsia="宋体" w:cs="宋体"/>
                <w:spacing w:val="0"/>
                <w:w w:val="100"/>
                <w:sz w:val="21"/>
                <w:szCs w:val="21"/>
                <w:lang w:val="en-US" w:eastAsia="zh-CN"/>
              </w:rPr>
            </w:pPr>
            <w:r>
              <w:rPr>
                <w:rFonts w:hint="eastAsia" w:ascii="宋体" w:hAnsi="宋体" w:eastAsia="宋体" w:cs="宋体"/>
                <w:spacing w:val="0"/>
                <w:w w:val="100"/>
                <w:sz w:val="21"/>
                <w:szCs w:val="21"/>
                <w:lang w:val="en-US" w:eastAsia="zh-CN"/>
              </w:rPr>
              <w:t>产成品</w:t>
            </w:r>
          </w:p>
        </w:tc>
        <w:tc>
          <w:tcPr>
            <w:tcW w:w="1435"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88628.83 </w:t>
            </w:r>
          </w:p>
        </w:tc>
        <w:tc>
          <w:tcPr>
            <w:tcW w:w="1435"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120632.88 </w:t>
            </w:r>
          </w:p>
        </w:tc>
        <w:tc>
          <w:tcPr>
            <w:tcW w:w="1435"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184071.39 </w:t>
            </w:r>
          </w:p>
        </w:tc>
        <w:tc>
          <w:tcPr>
            <w:tcW w:w="1435"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251903.38 </w:t>
            </w:r>
          </w:p>
        </w:tc>
        <w:tc>
          <w:tcPr>
            <w:tcW w:w="1435"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378164.40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01" w:type="dxa"/>
            <w:tcBorders>
              <w:top w:val="nil"/>
              <w:left w:val="nil"/>
              <w:bottom w:val="nil"/>
              <w:right w:val="nil"/>
            </w:tcBorders>
            <w:vAlign w:val="center"/>
          </w:tcPr>
          <w:p>
            <w:pPr>
              <w:ind w:firstLine="0" w:firstLineChars="0"/>
              <w:jc w:val="center"/>
              <w:rPr>
                <w:rFonts w:hint="eastAsia" w:ascii="宋体" w:hAnsi="宋体" w:eastAsia="宋体" w:cs="宋体"/>
                <w:spacing w:val="0"/>
                <w:w w:val="100"/>
                <w:sz w:val="21"/>
                <w:szCs w:val="21"/>
                <w:lang w:val="en-US" w:eastAsia="zh-CN"/>
              </w:rPr>
            </w:pPr>
            <w:r>
              <w:rPr>
                <w:rFonts w:hint="eastAsia" w:ascii="宋体" w:hAnsi="宋体" w:eastAsia="宋体" w:cs="宋体"/>
                <w:spacing w:val="0"/>
                <w:w w:val="100"/>
                <w:sz w:val="21"/>
                <w:szCs w:val="21"/>
                <w:lang w:val="en-US" w:eastAsia="zh-CN"/>
              </w:rPr>
              <w:t>应收账款</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290109.73 </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472084.28 </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708002.37 </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1113100.39 </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1324362.56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01" w:type="dxa"/>
            <w:tcBorders>
              <w:top w:val="nil"/>
              <w:left w:val="nil"/>
              <w:bottom w:val="nil"/>
              <w:right w:val="nil"/>
            </w:tcBorders>
            <w:vAlign w:val="center"/>
          </w:tcPr>
          <w:p>
            <w:pPr>
              <w:ind w:firstLine="0" w:firstLineChars="0"/>
              <w:jc w:val="center"/>
              <w:rPr>
                <w:rFonts w:hint="eastAsia" w:ascii="宋体" w:hAnsi="宋体" w:eastAsia="宋体" w:cs="宋体"/>
                <w:spacing w:val="0"/>
                <w:w w:val="100"/>
                <w:sz w:val="21"/>
                <w:szCs w:val="21"/>
                <w:lang w:val="en-US" w:eastAsia="zh-CN"/>
              </w:rPr>
            </w:pPr>
            <w:r>
              <w:rPr>
                <w:rFonts w:hint="eastAsia" w:ascii="宋体" w:hAnsi="宋体" w:eastAsia="宋体" w:cs="宋体"/>
                <w:spacing w:val="0"/>
                <w:w w:val="100"/>
                <w:sz w:val="21"/>
                <w:szCs w:val="21"/>
                <w:lang w:val="en-US" w:eastAsia="zh-CN"/>
              </w:rPr>
              <w:t>应收票据</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4648.85 </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14983.15 </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12604.93 </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8450.60 </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6687.39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01" w:type="dxa"/>
            <w:tcBorders>
              <w:top w:val="nil"/>
              <w:left w:val="nil"/>
              <w:bottom w:val="nil"/>
              <w:right w:val="nil"/>
            </w:tcBorders>
            <w:vAlign w:val="center"/>
          </w:tcPr>
          <w:p>
            <w:pPr>
              <w:ind w:firstLine="0" w:firstLineChars="0"/>
              <w:jc w:val="center"/>
              <w:rPr>
                <w:rFonts w:hint="eastAsia" w:ascii="宋体" w:hAnsi="宋体" w:eastAsia="宋体" w:cs="宋体"/>
                <w:spacing w:val="0"/>
                <w:w w:val="100"/>
                <w:sz w:val="21"/>
                <w:szCs w:val="21"/>
                <w:lang w:val="en-US" w:eastAsia="zh-CN"/>
              </w:rPr>
            </w:pPr>
            <w:r>
              <w:rPr>
                <w:rFonts w:hint="eastAsia" w:ascii="宋体" w:hAnsi="宋体" w:eastAsia="宋体" w:cs="宋体"/>
                <w:spacing w:val="0"/>
                <w:w w:val="100"/>
                <w:sz w:val="21"/>
                <w:szCs w:val="21"/>
                <w:lang w:val="en-US" w:eastAsia="zh-CN"/>
              </w:rPr>
              <w:t>预收账款</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768.32 </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4399.50 </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2178.96 </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3143.28 </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10160.94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01" w:type="dxa"/>
            <w:tcBorders>
              <w:top w:val="nil"/>
              <w:left w:val="nil"/>
              <w:bottom w:val="nil"/>
              <w:right w:val="nil"/>
            </w:tcBorders>
            <w:vAlign w:val="center"/>
          </w:tcPr>
          <w:p>
            <w:pPr>
              <w:ind w:firstLine="0" w:firstLineChars="0"/>
              <w:jc w:val="center"/>
              <w:rPr>
                <w:rFonts w:hint="eastAsia" w:ascii="宋体" w:hAnsi="宋体" w:eastAsia="宋体" w:cs="宋体"/>
                <w:spacing w:val="0"/>
                <w:w w:val="100"/>
                <w:sz w:val="21"/>
                <w:szCs w:val="21"/>
                <w:lang w:val="en-US" w:eastAsia="zh-CN"/>
              </w:rPr>
            </w:pPr>
            <w:r>
              <w:rPr>
                <w:rFonts w:hint="eastAsia" w:ascii="宋体" w:hAnsi="宋体" w:eastAsia="宋体" w:cs="宋体"/>
                <w:spacing w:val="0"/>
                <w:w w:val="100"/>
                <w:sz w:val="21"/>
                <w:szCs w:val="21"/>
                <w:lang w:val="en-US" w:eastAsia="zh-CN"/>
              </w:rPr>
              <w:t>应交税费</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6716.55 </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11495.54 </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12468.42 </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16057.95 </w:t>
            </w:r>
          </w:p>
        </w:tc>
        <w:tc>
          <w:tcPr>
            <w:tcW w:w="1435"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32763.33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01" w:type="dxa"/>
            <w:tcBorders>
              <w:top w:val="nil"/>
              <w:left w:val="nil"/>
              <w:bottom w:val="single" w:color="auto" w:sz="12" w:space="0"/>
              <w:right w:val="nil"/>
            </w:tcBorders>
            <w:vAlign w:val="center"/>
          </w:tcPr>
          <w:p>
            <w:pPr>
              <w:ind w:firstLine="0" w:firstLineChars="0"/>
              <w:jc w:val="center"/>
              <w:rPr>
                <w:rFonts w:hint="eastAsia" w:ascii="宋体" w:hAnsi="宋体" w:eastAsia="宋体" w:cs="宋体"/>
                <w:spacing w:val="0"/>
                <w:w w:val="100"/>
                <w:sz w:val="21"/>
                <w:szCs w:val="21"/>
                <w:lang w:val="en-US" w:eastAsia="zh-CN"/>
              </w:rPr>
            </w:pPr>
            <w:r>
              <w:rPr>
                <w:rFonts w:hint="eastAsia" w:ascii="宋体" w:hAnsi="宋体" w:eastAsia="宋体" w:cs="宋体"/>
                <w:spacing w:val="0"/>
                <w:w w:val="100"/>
                <w:sz w:val="21"/>
                <w:szCs w:val="21"/>
                <w:lang w:val="en-US" w:eastAsia="zh-CN"/>
              </w:rPr>
              <w:t>占用的营运资金</w:t>
            </w:r>
          </w:p>
        </w:tc>
        <w:tc>
          <w:tcPr>
            <w:tcW w:w="1435"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375902.54 </w:t>
            </w:r>
          </w:p>
        </w:tc>
        <w:tc>
          <w:tcPr>
            <w:tcW w:w="1435"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591805.27 </w:t>
            </w:r>
          </w:p>
        </w:tc>
        <w:tc>
          <w:tcPr>
            <w:tcW w:w="1435"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890031.31 </w:t>
            </w:r>
          </w:p>
        </w:tc>
        <w:tc>
          <w:tcPr>
            <w:tcW w:w="1435"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1354253.15 </w:t>
            </w:r>
          </w:p>
        </w:tc>
        <w:tc>
          <w:tcPr>
            <w:tcW w:w="1435"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1666290.08 </w:t>
            </w:r>
          </w:p>
        </w:tc>
      </w:tr>
    </w:tbl>
    <w:p>
      <w:pPr>
        <w:keepNext w:val="0"/>
        <w:keepLines w:val="0"/>
        <w:pageBreakBefore w:val="0"/>
        <w:widowControl/>
        <w:kinsoku/>
        <w:wordWrap/>
        <w:overflowPunct/>
        <w:topLinePunct w:val="0"/>
        <w:autoSpaceDE/>
        <w:autoSpaceDN/>
        <w:bidi w:val="0"/>
        <w:adjustRightInd/>
        <w:snapToGrid/>
        <w:spacing w:line="360" w:lineRule="auto"/>
        <w:ind w:firstLine="352" w:firstLineChars="200"/>
        <w:textAlignment w:val="auto"/>
        <w:rPr>
          <w:rFonts w:hint="default" w:ascii="宋体" w:hAnsi="宋体" w:cs="宋体"/>
          <w:sz w:val="18"/>
          <w:szCs w:val="18"/>
          <w:highlight w:val="none"/>
          <w:lang w:val="en-US" w:eastAsia="zh-CN"/>
        </w:rPr>
      </w:pPr>
      <w:r>
        <w:rPr>
          <w:rFonts w:hint="eastAsia" w:ascii="宋体" w:hAnsi="宋体" w:eastAsia="宋体" w:cs="宋体"/>
          <w:sz w:val="18"/>
          <w:szCs w:val="18"/>
          <w:highlight w:val="none"/>
        </w:rPr>
        <w:t>资料来源：节选自</w:t>
      </w:r>
      <w:r>
        <w:rPr>
          <w:rFonts w:hint="eastAsia" w:ascii="宋体" w:hAnsi="宋体" w:cs="宋体"/>
          <w:sz w:val="18"/>
          <w:szCs w:val="18"/>
          <w:highlight w:val="none"/>
          <w:lang w:val="en-US" w:eastAsia="zh-CN"/>
        </w:rPr>
        <w:t>立讯精密2015—2019财务报表</w:t>
      </w:r>
    </w:p>
    <w:p>
      <w:pPr>
        <w:pStyle w:val="22"/>
        <w:shd w:val="clear" w:color="auto" w:fill="FFFFFF"/>
        <w:spacing w:line="360" w:lineRule="auto"/>
        <w:ind w:firstLine="420" w:firstLineChars="200"/>
        <w:jc w:val="right"/>
        <w:rPr>
          <w:rFonts w:hint="eastAsia" w:eastAsia="宋体"/>
          <w:lang w:eastAsia="zh-CN"/>
        </w:rPr>
      </w:pPr>
      <w:r>
        <w:rPr>
          <w:rFonts w:hint="eastAsia" w:ascii="黑体" w:hAnsi="黑体" w:eastAsia="黑体" w:cs="黑体"/>
          <w:sz w:val="21"/>
          <w:szCs w:val="21"/>
          <w:highlight w:val="none"/>
        </w:rPr>
        <w:t>表 3-</w:t>
      </w:r>
      <w:r>
        <w:rPr>
          <w:rFonts w:hint="eastAsia" w:ascii="黑体" w:hAnsi="黑体" w:eastAsia="黑体" w:cs="黑体"/>
          <w:sz w:val="21"/>
          <w:szCs w:val="21"/>
          <w:highlight w:val="none"/>
          <w:lang w:val="en-US" w:eastAsia="zh-CN"/>
        </w:rPr>
        <w:t xml:space="preserve">12  </w:t>
      </w:r>
      <w:r>
        <w:rPr>
          <w:rFonts w:hint="eastAsia" w:ascii="黑体" w:hAnsi="黑体" w:eastAsia="黑体" w:cs="黑体"/>
          <w:sz w:val="21"/>
          <w:szCs w:val="21"/>
          <w:lang w:val="en-US" w:eastAsia="zh-CN"/>
        </w:rPr>
        <w:t>营销渠道营运资金周转期</w:t>
      </w:r>
      <w:r>
        <w:rPr>
          <w:rFonts w:hint="eastAsia" w:ascii="黑体" w:hAnsi="黑体" w:eastAsia="黑体" w:cs="黑体"/>
          <w:sz w:val="21"/>
          <w:szCs w:val="21"/>
        </w:rPr>
        <w:t xml:space="preserve">                   单位：</w:t>
      </w:r>
      <w:r>
        <w:rPr>
          <w:rFonts w:hint="eastAsia" w:ascii="黑体" w:hAnsi="黑体" w:eastAsia="黑体" w:cs="黑体"/>
          <w:sz w:val="21"/>
          <w:szCs w:val="21"/>
          <w:lang w:val="en-US" w:eastAsia="zh-CN"/>
        </w:rPr>
        <w:t>万</w:t>
      </w:r>
      <w:r>
        <w:rPr>
          <w:rFonts w:hint="eastAsia" w:ascii="黑体" w:hAnsi="黑体" w:eastAsia="黑体" w:cs="黑体"/>
          <w:sz w:val="21"/>
          <w:szCs w:val="21"/>
        </w:rPr>
        <w:t>元</w:t>
      </w:r>
    </w:p>
    <w:tbl>
      <w:tblPr>
        <w:tblStyle w:val="25"/>
        <w:tblW w:w="9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5"/>
        <w:gridCol w:w="1438"/>
        <w:gridCol w:w="1438"/>
        <w:gridCol w:w="1438"/>
        <w:gridCol w:w="1438"/>
        <w:gridCol w:w="1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905"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项目</w:t>
            </w:r>
          </w:p>
        </w:tc>
        <w:tc>
          <w:tcPr>
            <w:tcW w:w="1438"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2015</w:t>
            </w:r>
          </w:p>
        </w:tc>
        <w:tc>
          <w:tcPr>
            <w:tcW w:w="1438"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2016</w:t>
            </w:r>
          </w:p>
        </w:tc>
        <w:tc>
          <w:tcPr>
            <w:tcW w:w="1438"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2017</w:t>
            </w:r>
          </w:p>
        </w:tc>
        <w:tc>
          <w:tcPr>
            <w:tcW w:w="1438"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2018</w:t>
            </w:r>
          </w:p>
        </w:tc>
        <w:tc>
          <w:tcPr>
            <w:tcW w:w="1438" w:type="dxa"/>
            <w:tcBorders>
              <w:top w:val="single" w:color="auto" w:sz="12" w:space="0"/>
              <w:left w:val="nil"/>
              <w:bottom w:val="single" w:color="auto" w:sz="4" w:space="0"/>
              <w:right w:val="nil"/>
            </w:tcBorders>
            <w:vAlign w:val="center"/>
          </w:tcPr>
          <w:p>
            <w:pPr>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905" w:type="dxa"/>
            <w:tcBorders>
              <w:top w:val="single" w:color="auto" w:sz="4" w:space="0"/>
              <w:left w:val="nil"/>
              <w:bottom w:val="nil"/>
              <w:right w:val="nil"/>
            </w:tcBorders>
            <w:vAlign w:val="center"/>
          </w:tcPr>
          <w:p>
            <w:pPr>
              <w:ind w:firstLine="0" w:firstLineChars="0"/>
              <w:jc w:val="center"/>
              <w:rPr>
                <w:rFonts w:hint="eastAsia" w:ascii="Times New Roman" w:hAnsi="Times New Roman" w:eastAsia="宋体" w:cs="Times New Roman"/>
                <w:sz w:val="21"/>
                <w:szCs w:val="21"/>
                <w:lang w:eastAsia="zh-CN"/>
              </w:rPr>
            </w:pPr>
            <w:r>
              <w:rPr>
                <w:rFonts w:hint="eastAsia" w:ascii="宋体" w:hAnsi="宋体" w:eastAsia="宋体" w:cs="宋体"/>
                <w:sz w:val="21"/>
                <w:szCs w:val="21"/>
                <w:highlight w:val="none"/>
                <w:lang w:val="en-US" w:eastAsia="zh-CN"/>
              </w:rPr>
              <w:t>销售收入</w:t>
            </w:r>
          </w:p>
        </w:tc>
        <w:tc>
          <w:tcPr>
            <w:tcW w:w="1438"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1002960.11 </w:t>
            </w:r>
          </w:p>
        </w:tc>
        <w:tc>
          <w:tcPr>
            <w:tcW w:w="1438"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1352853.81 </w:t>
            </w:r>
          </w:p>
        </w:tc>
        <w:tc>
          <w:tcPr>
            <w:tcW w:w="1438"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2216526.36 </w:t>
            </w:r>
          </w:p>
        </w:tc>
        <w:tc>
          <w:tcPr>
            <w:tcW w:w="1438"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3539016.96 </w:t>
            </w:r>
          </w:p>
        </w:tc>
        <w:tc>
          <w:tcPr>
            <w:tcW w:w="1438" w:type="dxa"/>
            <w:tcBorders>
              <w:top w:val="single" w:color="auto" w:sz="4" w:space="0"/>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6209916.66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905" w:type="dxa"/>
            <w:tcBorders>
              <w:top w:val="nil"/>
              <w:left w:val="nil"/>
              <w:bottom w:val="nil"/>
              <w:right w:val="nil"/>
            </w:tcBorders>
            <w:vAlign w:val="center"/>
          </w:tcPr>
          <w:p>
            <w:pPr>
              <w:ind w:firstLine="0" w:firstLineChars="0"/>
              <w:jc w:val="center"/>
              <w:rPr>
                <w:rFonts w:hint="eastAsia" w:ascii="Times New Roman" w:hAnsi="Times New Roman" w:eastAsia="宋体" w:cs="Times New Roman"/>
                <w:sz w:val="21"/>
                <w:szCs w:val="21"/>
                <w:lang w:eastAsia="zh-CN"/>
              </w:rPr>
            </w:pPr>
            <w:r>
              <w:rPr>
                <w:rFonts w:hint="eastAsia" w:ascii="宋体" w:hAnsi="宋体" w:eastAsia="宋体" w:cs="宋体"/>
                <w:spacing w:val="0"/>
                <w:w w:val="100"/>
                <w:sz w:val="21"/>
                <w:szCs w:val="21"/>
                <w:lang w:val="en-US" w:eastAsia="zh-CN"/>
              </w:rPr>
              <w:t>占用的营运资金</w:t>
            </w:r>
          </w:p>
        </w:tc>
        <w:tc>
          <w:tcPr>
            <w:tcW w:w="1438"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375902.54 </w:t>
            </w:r>
          </w:p>
        </w:tc>
        <w:tc>
          <w:tcPr>
            <w:tcW w:w="1438"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591805.27 </w:t>
            </w:r>
          </w:p>
        </w:tc>
        <w:tc>
          <w:tcPr>
            <w:tcW w:w="1438"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890031.31 </w:t>
            </w:r>
          </w:p>
        </w:tc>
        <w:tc>
          <w:tcPr>
            <w:tcW w:w="1438"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1354253.15 </w:t>
            </w:r>
          </w:p>
        </w:tc>
        <w:tc>
          <w:tcPr>
            <w:tcW w:w="1438" w:type="dxa"/>
            <w:tcBorders>
              <w:top w:val="nil"/>
              <w:left w:val="nil"/>
              <w:bottom w:val="nil"/>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 xml:space="preserve">1666290.08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905" w:type="dxa"/>
            <w:tcBorders>
              <w:top w:val="nil"/>
              <w:left w:val="nil"/>
              <w:bottom w:val="single" w:color="auto" w:sz="12" w:space="0"/>
              <w:right w:val="nil"/>
            </w:tcBorders>
            <w:vAlign w:val="center"/>
          </w:tcPr>
          <w:p>
            <w:pPr>
              <w:ind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营运资金周转期</w:t>
            </w:r>
          </w:p>
        </w:tc>
        <w:tc>
          <w:tcPr>
            <w:tcW w:w="1438"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136.80</w:t>
            </w:r>
          </w:p>
        </w:tc>
        <w:tc>
          <w:tcPr>
            <w:tcW w:w="1438"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159.67</w:t>
            </w:r>
          </w:p>
        </w:tc>
        <w:tc>
          <w:tcPr>
            <w:tcW w:w="1438"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146.56</w:t>
            </w:r>
          </w:p>
        </w:tc>
        <w:tc>
          <w:tcPr>
            <w:tcW w:w="1438"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139.67</w:t>
            </w:r>
          </w:p>
        </w:tc>
        <w:tc>
          <w:tcPr>
            <w:tcW w:w="1438" w:type="dxa"/>
            <w:tcBorders>
              <w:top w:val="nil"/>
              <w:left w:val="nil"/>
              <w:bottom w:val="single" w:color="auto" w:sz="12" w:space="0"/>
              <w:right w:val="nil"/>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pacing w:val="-2"/>
                <w:kern w:val="0"/>
                <w:sz w:val="21"/>
                <w:szCs w:val="21"/>
                <w:u w:val="none"/>
                <w:lang w:val="en-US" w:eastAsia="zh-CN" w:bidi="ar"/>
              </w:rPr>
            </w:pPr>
            <w:r>
              <w:rPr>
                <w:rFonts w:hint="default" w:ascii="Times New Roman" w:hAnsi="Times New Roman" w:eastAsia="宋体" w:cs="Times New Roman"/>
                <w:i w:val="0"/>
                <w:color w:val="000000"/>
                <w:spacing w:val="-2"/>
                <w:kern w:val="0"/>
                <w:sz w:val="21"/>
                <w:szCs w:val="21"/>
                <w:u w:val="none"/>
                <w:lang w:val="en-US" w:eastAsia="zh-CN" w:bidi="ar"/>
              </w:rPr>
              <w:t>97.94</w:t>
            </w:r>
          </w:p>
        </w:tc>
      </w:tr>
    </w:tbl>
    <w:p>
      <w:pPr>
        <w:keepNext w:val="0"/>
        <w:keepLines w:val="0"/>
        <w:pageBreakBefore w:val="0"/>
        <w:widowControl/>
        <w:kinsoku/>
        <w:wordWrap/>
        <w:overflowPunct/>
        <w:topLinePunct w:val="0"/>
        <w:autoSpaceDE/>
        <w:autoSpaceDN/>
        <w:bidi w:val="0"/>
        <w:adjustRightInd/>
        <w:snapToGrid/>
        <w:spacing w:line="360" w:lineRule="auto"/>
        <w:ind w:left="0" w:leftChars="0" w:firstLine="352" w:firstLineChars="200"/>
        <w:textAlignment w:val="auto"/>
        <w:rPr>
          <w:rFonts w:hint="eastAsia" w:ascii="宋体" w:hAnsi="宋体" w:cs="宋体"/>
          <w:sz w:val="24"/>
          <w:highlight w:val="none"/>
          <w:lang w:val="en-US" w:eastAsia="zh-CN"/>
        </w:rPr>
      </w:pPr>
      <w:r>
        <w:rPr>
          <w:rFonts w:hint="eastAsia" w:ascii="宋体" w:hAnsi="宋体" w:eastAsia="宋体" w:cs="宋体"/>
          <w:sz w:val="18"/>
          <w:szCs w:val="18"/>
          <w:highlight w:val="none"/>
        </w:rPr>
        <w:t>资料来源：节选自</w:t>
      </w:r>
      <w:r>
        <w:rPr>
          <w:rFonts w:hint="eastAsia" w:ascii="宋体" w:hAnsi="宋体" w:cs="宋体"/>
          <w:sz w:val="18"/>
          <w:szCs w:val="18"/>
          <w:highlight w:val="none"/>
          <w:lang w:val="en-US" w:eastAsia="zh-CN"/>
        </w:rPr>
        <w:t>立讯精密2015—2019财务报表</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从</w:t>
      </w:r>
      <w:r>
        <w:rPr>
          <w:rFonts w:hint="eastAsia" w:ascii="Times New Roman" w:hAnsi="Times New Roman" w:cs="Times New Roman"/>
          <w:sz w:val="24"/>
          <w:highlight w:val="none"/>
          <w:lang w:val="en-US" w:eastAsia="zh-CN"/>
        </w:rPr>
        <w:t>3-12</w:t>
      </w:r>
      <w:r>
        <w:rPr>
          <w:rFonts w:hint="eastAsia" w:ascii="宋体" w:hAnsi="宋体" w:cs="宋体"/>
          <w:sz w:val="24"/>
          <w:highlight w:val="none"/>
          <w:lang w:val="en-US" w:eastAsia="zh-CN"/>
        </w:rPr>
        <w:t>得出，立讯精密营销渠道周转期在短暂上升后开始缓慢下降，说明立讯精密意识到销售方面的提升空间，并通过内部调节，使营运资金得到改善。但近五年该渠道营运资金周转期整体呈下降趋势，其中，</w:t>
      </w:r>
      <w:r>
        <w:rPr>
          <w:rFonts w:hint="eastAsia" w:ascii="Times New Roman" w:hAnsi="Times New Roman" w:cs="Times New Roman"/>
          <w:sz w:val="24"/>
          <w:highlight w:val="none"/>
          <w:lang w:val="en-US" w:eastAsia="zh-CN"/>
        </w:rPr>
        <w:t>2018</w:t>
      </w:r>
      <w:r>
        <w:rPr>
          <w:rFonts w:hint="eastAsia" w:ascii="宋体" w:hAnsi="宋体" w:cs="宋体"/>
          <w:sz w:val="24"/>
          <w:highlight w:val="none"/>
          <w:lang w:val="en-US" w:eastAsia="zh-CN"/>
        </w:rPr>
        <w:t>营运资金周转期从</w:t>
      </w:r>
      <w:r>
        <w:rPr>
          <w:rFonts w:hint="eastAsia" w:ascii="Times New Roman" w:hAnsi="Times New Roman" w:cs="Times New Roman"/>
          <w:sz w:val="24"/>
          <w:highlight w:val="none"/>
          <w:lang w:val="en-US" w:eastAsia="zh-CN"/>
        </w:rPr>
        <w:t>139.67</w:t>
      </w:r>
      <w:r>
        <w:rPr>
          <w:rFonts w:hint="eastAsia" w:ascii="宋体" w:hAnsi="宋体" w:cs="宋体"/>
          <w:sz w:val="24"/>
          <w:highlight w:val="none"/>
          <w:lang w:val="en-US" w:eastAsia="zh-CN"/>
        </w:rPr>
        <w:t>下降至</w:t>
      </w:r>
      <w:r>
        <w:rPr>
          <w:rFonts w:hint="eastAsia" w:ascii="Times New Roman" w:hAnsi="Times New Roman" w:cs="Times New Roman"/>
          <w:sz w:val="24"/>
          <w:highlight w:val="none"/>
          <w:lang w:val="en-US" w:eastAsia="zh-CN"/>
        </w:rPr>
        <w:t>97.94</w:t>
      </w:r>
      <w:r>
        <w:rPr>
          <w:rFonts w:hint="eastAsia" w:ascii="宋体" w:hAnsi="宋体" w:cs="宋体"/>
          <w:sz w:val="24"/>
          <w:highlight w:val="none"/>
          <w:lang w:val="en-US" w:eastAsia="zh-CN"/>
        </w:rPr>
        <w:t>，下降幅度达到了</w:t>
      </w:r>
      <w:r>
        <w:rPr>
          <w:rFonts w:hint="eastAsia" w:ascii="Times New Roman" w:hAnsi="Times New Roman" w:cs="Times New Roman"/>
          <w:sz w:val="24"/>
          <w:highlight w:val="none"/>
          <w:lang w:val="en-US" w:eastAsia="zh-CN"/>
        </w:rPr>
        <w:t>29.88%</w:t>
      </w:r>
      <w:r>
        <w:rPr>
          <w:rFonts w:hint="eastAsia" w:ascii="宋体" w:hAnsi="宋体" w:cs="宋体"/>
          <w:sz w:val="24"/>
          <w:highlight w:val="none"/>
          <w:lang w:val="en-US" w:eastAsia="zh-CN"/>
        </w:rPr>
        <w:t>。</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(1)产成品存货分析</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firstLine="472" w:firstLineChars="200"/>
        <w:jc w:val="both"/>
        <w:textAlignment w:val="auto"/>
        <w:rPr>
          <w:rFonts w:hint="default" w:ascii="宋体" w:hAnsi="宋体" w:cs="宋体"/>
          <w:sz w:val="24"/>
          <w:highlight w:val="none"/>
          <w:lang w:val="en-US" w:eastAsia="zh-CN"/>
        </w:rPr>
      </w:pPr>
      <w:r>
        <w:rPr>
          <w:rFonts w:hint="eastAsia" w:ascii="宋体" w:hAnsi="宋体" w:cs="宋体"/>
          <w:sz w:val="24"/>
          <w:highlight w:val="none"/>
          <w:lang w:val="en-US" w:eastAsia="zh-CN"/>
        </w:rPr>
        <w:t>由表可知，立讯精密产成品存货持续增长，在存货的占比中同样较高，与企业规模扩大不成正比，产成本积压趋势较为明显。对立讯精密来说，长期维持在存货比例较高水平，企业很可能面临产品销售积压，商品变现不及时，资金周转出现问题。</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72" w:firstLineChars="200"/>
        <w:textAlignment w:val="auto"/>
        <w:rPr>
          <w:rFonts w:hint="eastAsia" w:ascii="宋体" w:hAnsi="宋体" w:cs="宋体"/>
          <w:highlight w:val="none"/>
        </w:rPr>
      </w:pPr>
      <w:r>
        <w:rPr>
          <w:rFonts w:hint="eastAsia" w:ascii="宋体" w:hAnsi="宋体" w:cs="宋体"/>
          <w:highlight w:val="none"/>
        </w:rPr>
        <w:t>(2)应收款项的分析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72" w:firstLineChars="200"/>
        <w:textAlignment w:val="auto"/>
        <w:rPr>
          <w:rFonts w:hint="eastAsia" w:ascii="宋体" w:hAnsi="宋体" w:cs="宋体"/>
          <w:sz w:val="24"/>
          <w:highlight w:val="none"/>
          <w:lang w:val="en-US" w:eastAsia="zh-CN"/>
        </w:rPr>
      </w:pPr>
      <w:r>
        <w:rPr>
          <w:rFonts w:hint="eastAsia" w:ascii="宋体" w:hAnsi="宋体" w:cs="宋体"/>
          <w:highlight w:val="none"/>
          <w:lang w:val="en-US" w:eastAsia="zh-CN"/>
        </w:rPr>
        <w:t>根据立讯精密</w:t>
      </w:r>
      <w:r>
        <w:rPr>
          <w:rFonts w:hint="default" w:ascii="Times New Roman" w:hAnsi="Times New Roman" w:cs="Times New Roman"/>
          <w:sz w:val="24"/>
          <w:highlight w:val="none"/>
          <w:lang w:val="en-US" w:eastAsia="zh-CN"/>
        </w:rPr>
        <w:t>2015</w:t>
      </w:r>
      <w:r>
        <w:rPr>
          <w:rFonts w:hint="eastAsia" w:ascii="Times New Roman" w:hAnsi="Times New Roman" w:cs="Times New Roman"/>
          <w:sz w:val="24"/>
          <w:highlight w:val="none"/>
          <w:lang w:val="en-US" w:eastAsia="zh-CN"/>
        </w:rPr>
        <w:t>——</w:t>
      </w:r>
      <w:r>
        <w:rPr>
          <w:rFonts w:hint="default" w:ascii="Times New Roman" w:hAnsi="Times New Roman" w:cs="Times New Roman"/>
          <w:sz w:val="24"/>
          <w:highlight w:val="none"/>
          <w:lang w:val="en-US" w:eastAsia="zh-CN"/>
        </w:rPr>
        <w:t>2019</w:t>
      </w:r>
      <w:r>
        <w:rPr>
          <w:rFonts w:hint="eastAsia" w:ascii="宋体" w:hAnsi="宋体" w:cs="宋体"/>
          <w:highlight w:val="none"/>
          <w:lang w:val="en-US" w:eastAsia="zh-CN"/>
        </w:rPr>
        <w:t>公司财务报告，得出企业在该时期应收账款、应收票据逐年攀升，这主要是因为企业为了增加销售，推进与购买方合作做出的商业举措。然而，在互联网+飞速发展，网购消费逐渐普及的时代，电商品牌销售较快且款项支付及时，立讯精密应收款项仍不断上升，</w:t>
      </w:r>
      <w:r>
        <w:rPr>
          <w:rFonts w:hint="eastAsia" w:ascii="宋体" w:hAnsi="宋体" w:cs="宋体"/>
          <w:highlight w:val="none"/>
        </w:rPr>
        <w:t>资金占用量</w:t>
      </w:r>
      <w:r>
        <w:rPr>
          <w:rFonts w:hint="eastAsia" w:ascii="宋体" w:hAnsi="宋体" w:cs="宋体"/>
          <w:highlight w:val="none"/>
          <w:lang w:val="en-US" w:eastAsia="zh-CN"/>
        </w:rPr>
        <w:t>居高不下。说明企业未能较好控制营销流程，</w:t>
      </w:r>
      <w:r>
        <w:rPr>
          <w:rFonts w:hint="eastAsia" w:ascii="宋体" w:hAnsi="宋体" w:cs="宋体"/>
          <w:sz w:val="24"/>
          <w:highlight w:val="none"/>
          <w:lang w:val="en-US" w:eastAsia="zh-CN"/>
        </w:rPr>
        <w:t>把握现时销售渠道对企业收拢资金的保障。应收款项的增加，虽然表明产品销量和营业收入账面增加，但是无法得知款项是否能够顺利收回，款项收回的数量以及与账面之间的差距，拉长了营销渠道营运资金周转期。综合分析，企业应加大产成品销售，加强对购买方企业信用管理，不断开拓销售渠道，减少应收账款在资金结构中的占用。</w:t>
      </w:r>
    </w:p>
    <w:bookmarkEnd w:id="59"/>
    <w:bookmarkEnd w:id="60"/>
    <w:p>
      <w:pPr>
        <w:pStyle w:val="2"/>
        <w:keepNext/>
        <w:keepLines/>
        <w:pageBreakBefore w:val="0"/>
        <w:widowControl/>
        <w:numPr>
          <w:ilvl w:val="0"/>
          <w:numId w:val="0"/>
        </w:numPr>
        <w:kinsoku/>
        <w:wordWrap/>
        <w:overflowPunct/>
        <w:topLinePunct w:val="0"/>
        <w:autoSpaceDE/>
        <w:autoSpaceDN/>
        <w:bidi w:val="0"/>
        <w:adjustRightInd/>
        <w:snapToGrid/>
        <w:spacing w:line="720" w:lineRule="auto"/>
        <w:jc w:val="center"/>
        <w:textAlignment w:val="auto"/>
        <w:outlineLvl w:val="0"/>
        <w:rPr>
          <w:rFonts w:hint="eastAsia" w:ascii="黑体" w:hAnsi="黑体" w:cs="黑体"/>
          <w:b w:val="0"/>
          <w:bCs w:val="0"/>
          <w:i w:val="0"/>
          <w:iCs w:val="0"/>
          <w:sz w:val="32"/>
          <w:szCs w:val="32"/>
          <w:lang w:val="en-US" w:eastAsia="zh-CN"/>
        </w:rPr>
      </w:pPr>
      <w:bookmarkStart w:id="74" w:name="_Toc3793"/>
      <w:r>
        <w:rPr>
          <w:rFonts w:hint="eastAsia" w:ascii="黑体" w:hAnsi="黑体" w:cs="黑体"/>
          <w:b w:val="0"/>
          <w:bCs w:val="0"/>
          <w:i w:val="0"/>
          <w:iCs w:val="0"/>
          <w:sz w:val="32"/>
          <w:szCs w:val="32"/>
          <w:lang w:val="en-US" w:eastAsia="zh-CN"/>
        </w:rPr>
        <w:t>四、立讯精密营运资金管理存在的问题</w:t>
      </w:r>
      <w:bookmarkEnd w:id="74"/>
    </w:p>
    <w:p>
      <w:pPr>
        <w:pStyle w:val="4"/>
        <w:keepNext/>
        <w:keepLines/>
        <w:pageBreakBefore w:val="0"/>
        <w:widowControl/>
        <w:kinsoku/>
        <w:wordWrap/>
        <w:overflowPunct/>
        <w:topLinePunct w:val="0"/>
        <w:autoSpaceDE/>
        <w:autoSpaceDN/>
        <w:bidi w:val="0"/>
        <w:adjustRightInd/>
        <w:snapToGrid/>
        <w:textAlignment w:val="auto"/>
        <w:rPr>
          <w:rFonts w:hint="eastAsia" w:ascii="黑体" w:hAnsi="黑体" w:eastAsia="黑体" w:cs="黑体"/>
          <w:lang w:val="en-US" w:eastAsia="zh-CN"/>
        </w:rPr>
      </w:pPr>
      <w:bookmarkStart w:id="75" w:name="_Toc1070"/>
      <w:r>
        <w:rPr>
          <w:rFonts w:hint="eastAsia" w:ascii="黑体" w:hAnsi="黑体" w:cs="黑体"/>
          <w:lang w:val="en-US" w:eastAsia="zh-CN"/>
        </w:rPr>
        <w:t>（一）</w:t>
      </w:r>
      <w:r>
        <w:rPr>
          <w:rFonts w:hint="eastAsia" w:ascii="黑体" w:hAnsi="黑体" w:eastAsia="黑体" w:cs="黑体"/>
          <w:lang w:val="en-US" w:eastAsia="zh-CN"/>
        </w:rPr>
        <w:t>采购环节存在的问题</w:t>
      </w:r>
      <w:bookmarkEnd w:id="75"/>
    </w:p>
    <w:p>
      <w:pPr>
        <w:pStyle w:val="5"/>
        <w:spacing w:before="0" w:after="0" w:line="360" w:lineRule="auto"/>
        <w:ind w:firstLine="552" w:firstLineChars="200"/>
        <w:rPr>
          <w:rFonts w:hint="eastAsia"/>
          <w:lang w:eastAsia="zh-CN"/>
        </w:rPr>
      </w:pPr>
      <w:bookmarkStart w:id="76" w:name="_Toc28813"/>
      <w:r>
        <w:rPr>
          <w:rFonts w:hint="eastAsia" w:ascii="黑体" w:hAnsi="黑体" w:cs="黑体"/>
          <w:b w:val="0"/>
          <w:bCs w:val="0"/>
          <w:sz w:val="28"/>
          <w:szCs w:val="28"/>
          <w:lang w:val="en-US" w:eastAsia="zh-CN"/>
        </w:rPr>
        <w:t>1.过多占用供应商资金</w:t>
      </w:r>
      <w:bookmarkEnd w:id="76"/>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default" w:eastAsia="宋体" w:cs="宋体"/>
          <w:highlight w:val="none"/>
          <w:lang w:val="en-US" w:eastAsia="zh-CN"/>
        </w:rPr>
      </w:pPr>
      <w:r>
        <w:rPr>
          <w:rFonts w:hint="eastAsia" w:cs="宋体"/>
          <w:highlight w:val="none"/>
          <w:lang w:val="en-US" w:eastAsia="zh-CN"/>
        </w:rPr>
        <w:t>随着消费者大量消费，供应商与购买方的主导权发生了改变，材料价格管理由原来的供应商管理倾向于购买方。而作为有着客户基础和稳定市场份额的立讯精密，采购话语权更是远大于同行竞争者，所以立讯精密在产品采购时，产生了长期、大量的应付款项。然而，该资金方式依附于自身品牌价值，短期内可以帮助企业扩大生产规模，谋取更多利益，但长期来说，势必对企业品牌、企业信誉造成消极影响。</w:t>
      </w:r>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eastAsia" w:cs="宋体"/>
          <w:highlight w:val="none"/>
          <w:lang w:val="en-US" w:eastAsia="zh-CN"/>
        </w:rPr>
      </w:pPr>
      <w:r>
        <w:rPr>
          <w:rFonts w:hint="eastAsia" w:cs="宋体"/>
          <w:highlight w:val="none"/>
          <w:lang w:val="en-US" w:eastAsia="zh-CN"/>
        </w:rPr>
        <w:t>综上，企业占用供应商资金过多，将有以下隐患：第一，虽然立讯精密主导地位在不断提升，但在互联网和电商环绕的市场背景下，供应商在合作方面也存在较多选择，过于占用供应商资金，供应商资金周转情况受到影响，从而迫使供应商对品牌降低信任。第二，应付账款与流动负债息息相关，企业对供应商的话语权凭借于自身品牌价值，如果企业出现任何不良风险，供应商要求短期偿还所有款项，企业将会面临极大偿债压力，营运资金管理也会出现较大隐患。</w:t>
      </w:r>
    </w:p>
    <w:p>
      <w:pPr>
        <w:pStyle w:val="5"/>
        <w:keepNext w:val="0"/>
        <w:keepLines w:val="0"/>
        <w:pageBreakBefore w:val="0"/>
        <w:widowControl/>
        <w:kinsoku/>
        <w:wordWrap/>
        <w:overflowPunct/>
        <w:topLinePunct w:val="0"/>
        <w:autoSpaceDE/>
        <w:autoSpaceDN/>
        <w:bidi w:val="0"/>
        <w:adjustRightInd/>
        <w:snapToGrid/>
        <w:spacing w:before="0" w:after="0" w:line="360" w:lineRule="auto"/>
        <w:ind w:firstLine="552" w:firstLineChars="200"/>
        <w:textAlignment w:val="auto"/>
        <w:rPr>
          <w:rFonts w:hint="default"/>
          <w:lang w:val="en-US" w:eastAsia="zh-CN"/>
        </w:rPr>
      </w:pPr>
      <w:bookmarkStart w:id="77" w:name="_Toc12409"/>
      <w:r>
        <w:rPr>
          <w:rFonts w:hint="eastAsia" w:ascii="黑体" w:hAnsi="黑体" w:cs="黑体"/>
          <w:b w:val="0"/>
          <w:bCs w:val="0"/>
          <w:sz w:val="28"/>
          <w:szCs w:val="28"/>
          <w:lang w:val="en-US" w:eastAsia="zh-CN"/>
        </w:rPr>
        <w:t>2.采购计划尚未完善</w:t>
      </w:r>
      <w:bookmarkEnd w:id="77"/>
    </w:p>
    <w:p>
      <w:pPr>
        <w:keepNext w:val="0"/>
        <w:keepLines w:val="0"/>
        <w:pageBreakBefore w:val="0"/>
        <w:widowControl/>
        <w:kinsoku/>
        <w:wordWrap/>
        <w:overflowPunct/>
        <w:topLinePunct w:val="0"/>
        <w:autoSpaceDE/>
        <w:autoSpaceDN/>
        <w:bidi w:val="0"/>
        <w:adjustRightInd/>
        <w:snapToGrid w:val="0"/>
        <w:spacing w:line="360" w:lineRule="auto"/>
        <w:ind w:firstLine="472" w:firstLineChars="200"/>
        <w:textAlignment w:val="auto"/>
        <w:rPr>
          <w:rFonts w:hint="eastAsia" w:cs="宋体"/>
          <w:highlight w:val="none"/>
          <w:lang w:val="en-US" w:eastAsia="zh-CN"/>
        </w:rPr>
      </w:pPr>
      <w:r>
        <w:rPr>
          <w:rFonts w:hint="eastAsia" w:cs="宋体"/>
          <w:highlight w:val="none"/>
          <w:lang w:val="en-US" w:eastAsia="zh-CN"/>
        </w:rPr>
        <w:t>立讯精密在进行原材料采购中，随企业规模扩充，原材料金额逐年增大，但原材料占比波动较大，基于企业总体良好的经营状况，表明企业在短期内采购得到了基本处理，但长期发展的采购计划并未凸显，致使在进行下一段生产周期前期发展中面临许多不确定。例如，当遇到内部资金周转、外部市场环境原材料短缺问题时，如何在短期内对采购原材料做出恰当处理，需要进一步规划。对于立讯精密，无论内外部突发问题，都将加大耗费企业采购成本，影响接下来的生产步骤，减少企业经济效益。</w:t>
      </w:r>
    </w:p>
    <w:p>
      <w:pPr>
        <w:pStyle w:val="4"/>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bookmarkStart w:id="78" w:name="_Toc25165"/>
      <w:r>
        <w:rPr>
          <w:rFonts w:hint="eastAsia" w:ascii="黑体" w:hAnsi="黑体" w:cs="黑体"/>
          <w:lang w:val="en-US" w:eastAsia="zh-CN"/>
        </w:rPr>
        <w:t>（二）</w:t>
      </w:r>
      <w:r>
        <w:rPr>
          <w:rFonts w:hint="eastAsia"/>
          <w:lang w:val="en-US" w:eastAsia="zh-CN"/>
        </w:rPr>
        <w:t>生产环节存在的问题</w:t>
      </w:r>
      <w:bookmarkEnd w:id="78"/>
    </w:p>
    <w:p>
      <w:pPr>
        <w:pStyle w:val="5"/>
        <w:keepNext w:val="0"/>
        <w:keepLines w:val="0"/>
        <w:pageBreakBefore w:val="0"/>
        <w:widowControl w:val="0"/>
        <w:kinsoku/>
        <w:wordWrap/>
        <w:overflowPunct/>
        <w:topLinePunct w:val="0"/>
        <w:autoSpaceDE/>
        <w:autoSpaceDN/>
        <w:bidi w:val="0"/>
        <w:adjustRightInd/>
        <w:snapToGrid/>
        <w:spacing w:before="0" w:after="0" w:line="360" w:lineRule="auto"/>
        <w:ind w:firstLine="552" w:firstLineChars="200"/>
        <w:textAlignment w:val="auto"/>
        <w:rPr>
          <w:rFonts w:hint="eastAsia" w:ascii="黑体" w:hAnsi="黑体" w:cs="黑体"/>
          <w:b w:val="0"/>
          <w:bCs w:val="0"/>
          <w:sz w:val="28"/>
          <w:szCs w:val="28"/>
          <w:lang w:val="en-US" w:eastAsia="zh-CN"/>
        </w:rPr>
      </w:pPr>
      <w:bookmarkStart w:id="79" w:name="_Toc13821"/>
      <w:r>
        <w:rPr>
          <w:rFonts w:hint="eastAsia" w:ascii="黑体" w:hAnsi="黑体" w:cs="黑体"/>
          <w:b w:val="0"/>
          <w:bCs w:val="0"/>
          <w:sz w:val="28"/>
          <w:szCs w:val="28"/>
          <w:lang w:val="en-US" w:eastAsia="zh-CN"/>
        </w:rPr>
        <w:t>1.在产品存货储存较多</w:t>
      </w:r>
      <w:bookmarkEnd w:id="79"/>
    </w:p>
    <w:p>
      <w:pPr>
        <w:keepNext w:val="0"/>
        <w:keepLines w:val="0"/>
        <w:pageBreakBefore w:val="0"/>
        <w:widowControl w:val="0"/>
        <w:kinsoku/>
        <w:wordWrap/>
        <w:overflowPunct/>
        <w:topLinePunct w:val="0"/>
        <w:autoSpaceDE/>
        <w:autoSpaceDN/>
        <w:bidi w:val="0"/>
        <w:adjustRightInd/>
        <w:snapToGrid/>
        <w:spacing w:line="360" w:lineRule="auto"/>
        <w:ind w:firstLine="472"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市场行情瞬息万变，新型便捷产品不断出现，当年畅销产品在来年可能就发生较大贬值，对行业发展前景无法准确预知。根据立讯精密在年度财务报表中，在产品额度逐年增加，是对企业的一种不利影响，与市场其他企业相比具有较大劣势。</w:t>
      </w:r>
    </w:p>
    <w:p>
      <w:pPr>
        <w:keepNext w:val="0"/>
        <w:keepLines w:val="0"/>
        <w:pageBreakBefore w:val="0"/>
        <w:widowControl w:val="0"/>
        <w:kinsoku/>
        <w:wordWrap/>
        <w:overflowPunct/>
        <w:topLinePunct w:val="0"/>
        <w:autoSpaceDE/>
        <w:autoSpaceDN/>
        <w:bidi w:val="0"/>
        <w:adjustRightInd/>
        <w:snapToGrid/>
        <w:spacing w:line="360" w:lineRule="auto"/>
        <w:ind w:firstLine="472"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例如，在对苹果手机连接线的生产中，由于该产品更新速度较快，过去的型号无法适应新型设备，导致产品滞销带来巨大损失。又或者，在</w:t>
      </w:r>
      <w:r>
        <w:rPr>
          <w:rFonts w:hint="eastAsia" w:ascii="Times New Roman" w:hAnsi="Times New Roman" w:cs="Times New Roman"/>
          <w:sz w:val="24"/>
          <w:highlight w:val="none"/>
          <w:lang w:val="en-US" w:eastAsia="zh-CN"/>
        </w:rPr>
        <w:t>2020</w:t>
      </w:r>
      <w:r>
        <w:rPr>
          <w:rFonts w:hint="eastAsia" w:ascii="宋体" w:hAnsi="宋体" w:eastAsia="宋体" w:cs="宋体"/>
          <w:highlight w:val="none"/>
          <w:lang w:val="en-US" w:eastAsia="zh-CN"/>
        </w:rPr>
        <w:t>年末全球突发疫情，几乎所有的企业停止了正常的生产运营，日常可用于流转的资金便显得格外重要，而企业如果在这时将大量资金存放于在产品，不能保证产品的正常周转，资金难以套现，将会增大企业经营风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spacing w:val="0"/>
        </w:rPr>
      </w:pPr>
      <w:r>
        <w:rPr>
          <w:rFonts w:hint="eastAsia" w:ascii="宋体"/>
          <w:spacing w:val="0"/>
        </w:rPr>
        <w:drawing>
          <wp:inline distT="0" distB="0" distL="0" distR="0">
            <wp:extent cx="5210810" cy="2045335"/>
            <wp:effectExtent l="0" t="0" r="1270" b="1206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pPr>
        <w:widowControl w:val="0"/>
        <w:tabs>
          <w:tab w:val="clear" w:pos="8640"/>
        </w:tabs>
        <w:spacing w:line="360" w:lineRule="auto"/>
        <w:ind w:firstLine="0" w:firstLineChars="0"/>
        <w:jc w:val="center"/>
        <w:rPr>
          <w:rFonts w:ascii="宋体"/>
          <w:spacing w:val="0"/>
        </w:rPr>
      </w:pPr>
      <w:r>
        <w:rPr>
          <w:rFonts w:hint="eastAsia" w:ascii="黑体" w:hAnsi="黑体" w:eastAsia="黑体" w:cs="黑体"/>
          <w:sz w:val="21"/>
          <w:szCs w:val="21"/>
        </w:rPr>
        <w:t>图</w:t>
      </w:r>
      <w:r>
        <w:rPr>
          <w:rFonts w:ascii="黑体" w:hAnsi="黑体" w:eastAsia="黑体" w:cs="Times New Roman"/>
          <w:sz w:val="21"/>
          <w:szCs w:val="21"/>
        </w:rPr>
        <w:t>5-1</w:t>
      </w:r>
      <w:r>
        <w:rPr>
          <w:rFonts w:ascii="黑体" w:hAnsi="黑体" w:eastAsia="黑体" w:cs="黑体"/>
          <w:sz w:val="21"/>
          <w:szCs w:val="21"/>
        </w:rPr>
        <w:t xml:space="preserve">  </w:t>
      </w:r>
      <w:r>
        <w:rPr>
          <w:rFonts w:hint="eastAsia" w:ascii="黑体" w:hAnsi="黑体" w:eastAsia="黑体" w:cs="黑体"/>
          <w:sz w:val="21"/>
          <w:szCs w:val="21"/>
        </w:rPr>
        <w:t>存货分类图</w:t>
      </w:r>
      <w:r>
        <w:commentReference w:id="33"/>
      </w:r>
    </w:p>
    <w:p>
      <w:pPr>
        <w:pStyle w:val="5"/>
        <w:spacing w:before="0" w:after="0" w:line="360" w:lineRule="auto"/>
        <w:ind w:firstLine="552" w:firstLineChars="200"/>
        <w:rPr>
          <w:rFonts w:hint="default"/>
          <w:lang w:val="en-US" w:eastAsia="zh-CN"/>
        </w:rPr>
      </w:pPr>
      <w:bookmarkStart w:id="80" w:name="_Toc1433"/>
      <w:r>
        <w:rPr>
          <w:rFonts w:hint="eastAsia" w:ascii="黑体" w:hAnsi="黑体" w:cs="黑体"/>
          <w:b w:val="0"/>
          <w:bCs w:val="0"/>
          <w:sz w:val="28"/>
          <w:szCs w:val="28"/>
          <w:lang w:val="en-US" w:eastAsia="zh-CN"/>
        </w:rPr>
        <w:t>2.生产方式自动化提升缓慢</w:t>
      </w:r>
      <w:bookmarkEnd w:id="80"/>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default" w:cs="宋体"/>
          <w:highlight w:val="none"/>
          <w:lang w:val="en-US" w:eastAsia="zh-CN"/>
        </w:rPr>
      </w:pPr>
      <w:r>
        <w:rPr>
          <w:rFonts w:hint="eastAsia" w:cs="宋体"/>
          <w:highlight w:val="none"/>
          <w:lang w:val="en-US" w:eastAsia="zh-CN"/>
        </w:rPr>
        <w:t>立讯精密在产品生产效率上处在同行业较高水平，但流水线柔性化方面依然有不足之处。例如，大多数流水线都是一条线生产一类产品，如果某类产品急需扩增或者市场稍有波动，产品生产将会大大受限，增加人工成本。并且根据立讯精密在应付职工薪酬上的增长，可以看出，每年都会增加大量的生产人员，说明需要人工负责的作业仍然较多，而对于立讯精密以及同等行业规模的制造业企业来说，机器自动化速度提升却是缓慢的，而这一现状会引起生产成本的大幅增加。总的来说，企业若能制定科学生产计划，并将生产技术倾向于更加机械化，将会合理减少应付职工薪酬在营运资金中的比例。</w:t>
      </w:r>
    </w:p>
    <w:p>
      <w:pPr>
        <w:pStyle w:val="4"/>
        <w:bidi w:val="0"/>
        <w:rPr>
          <w:rFonts w:hint="eastAsia" w:ascii="黑体" w:hAnsi="黑体" w:cs="黑体"/>
          <w:b w:val="0"/>
          <w:bCs w:val="0"/>
          <w:sz w:val="28"/>
          <w:szCs w:val="28"/>
          <w:lang w:val="en-US" w:eastAsia="zh-CN"/>
        </w:rPr>
      </w:pPr>
      <w:bookmarkStart w:id="81" w:name="_Toc25647"/>
      <w:r>
        <w:rPr>
          <w:rFonts w:hint="eastAsia" w:ascii="黑体" w:hAnsi="黑体" w:cs="黑体"/>
          <w:lang w:val="en-US" w:eastAsia="zh-CN"/>
        </w:rPr>
        <w:t>（三）</w:t>
      </w:r>
      <w:r>
        <w:rPr>
          <w:rFonts w:hint="eastAsia"/>
          <w:lang w:val="en-US" w:eastAsia="zh-CN"/>
        </w:rPr>
        <w:t>营销环节存在的问题</w:t>
      </w:r>
      <w:bookmarkEnd w:id="81"/>
    </w:p>
    <w:p>
      <w:pPr>
        <w:pStyle w:val="5"/>
        <w:spacing w:before="0" w:after="0" w:line="360" w:lineRule="auto"/>
        <w:ind w:firstLine="552" w:firstLineChars="200"/>
        <w:rPr>
          <w:rFonts w:hint="default" w:ascii="黑体" w:hAnsi="黑体" w:cs="黑体"/>
          <w:b w:val="0"/>
          <w:bCs w:val="0"/>
          <w:sz w:val="28"/>
          <w:szCs w:val="28"/>
          <w:lang w:val="en-US" w:eastAsia="zh-CN"/>
        </w:rPr>
      </w:pPr>
      <w:bookmarkStart w:id="82" w:name="_Toc6111"/>
      <w:r>
        <w:rPr>
          <w:rFonts w:hint="eastAsia" w:ascii="黑体" w:hAnsi="黑体" w:cs="黑体"/>
          <w:b w:val="0"/>
          <w:bCs w:val="0"/>
          <w:sz w:val="28"/>
          <w:szCs w:val="28"/>
          <w:lang w:val="en-US" w:eastAsia="zh-CN"/>
        </w:rPr>
        <w:t>1.产成品资金占用较多</w:t>
      </w:r>
      <w:bookmarkEnd w:id="82"/>
    </w:p>
    <w:p>
      <w:pPr>
        <w:keepNext w:val="0"/>
        <w:keepLines w:val="0"/>
        <w:pageBreakBefore w:val="0"/>
        <w:widowControl w:val="0"/>
        <w:kinsoku/>
        <w:wordWrap/>
        <w:overflowPunct/>
        <w:topLinePunct w:val="0"/>
        <w:autoSpaceDE/>
        <w:autoSpaceDN/>
        <w:bidi w:val="0"/>
        <w:adjustRightInd/>
        <w:snapToGrid/>
        <w:spacing w:line="360" w:lineRule="auto"/>
        <w:ind w:firstLine="472"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立讯精密在连接器的市场中，处于较为领先位置，客户业务量较多，在进行产品生产时，需要大幅提升产品生产数量，以此满足消费者需求。但在对其营销渠道存货的分析中，发现在</w:t>
      </w:r>
      <w:r>
        <w:rPr>
          <w:rFonts w:hint="eastAsia" w:ascii="Times New Roman" w:hAnsi="Times New Roman" w:cs="Times New Roman"/>
          <w:sz w:val="24"/>
          <w:highlight w:val="none"/>
          <w:lang w:val="en-US" w:eastAsia="zh-CN"/>
        </w:rPr>
        <w:t>2015——2019</w:t>
      </w:r>
      <w:r>
        <w:rPr>
          <w:rFonts w:hint="eastAsia" w:ascii="宋体" w:hAnsi="宋体" w:eastAsia="宋体" w:cs="宋体"/>
          <w:highlight w:val="none"/>
          <w:lang w:val="en-US" w:eastAsia="zh-CN"/>
        </w:rPr>
        <w:t>的存货量中，产成品数量逐年增长较大，存货周转期同样处于较高水平，占用金额不仅较大而且变现时效较长。表明企业虽拥有一定市场地位、业务订单，但在多元化存货销售上仍存在许多弊端，在分销渠道或物流体系上未能完善创建。总之，对立讯精密当下发展而言，产成品存货量的上升，占据企业用于流转市场的份额，增大产品储存成本，将会对企业资金状况带来极大不利影响，企业应当实时给予关注，严格控制产成品存货数量。</w:t>
      </w:r>
    </w:p>
    <w:p>
      <w:pPr>
        <w:pStyle w:val="5"/>
        <w:keepNext w:val="0"/>
        <w:keepLines w:val="0"/>
        <w:pageBreakBefore w:val="0"/>
        <w:widowControl w:val="0"/>
        <w:kinsoku/>
        <w:wordWrap/>
        <w:overflowPunct/>
        <w:topLinePunct w:val="0"/>
        <w:autoSpaceDE/>
        <w:autoSpaceDN/>
        <w:bidi w:val="0"/>
        <w:adjustRightInd/>
        <w:snapToGrid/>
        <w:spacing w:before="0" w:after="0" w:line="360" w:lineRule="auto"/>
        <w:ind w:firstLine="552" w:firstLineChars="200"/>
        <w:textAlignment w:val="auto"/>
        <w:rPr>
          <w:rFonts w:hint="default" w:ascii="黑体" w:hAnsi="黑体" w:cs="黑体"/>
          <w:b w:val="0"/>
          <w:bCs w:val="0"/>
          <w:sz w:val="28"/>
          <w:szCs w:val="28"/>
          <w:lang w:val="en-US" w:eastAsia="zh-CN"/>
        </w:rPr>
      </w:pPr>
      <w:bookmarkStart w:id="83" w:name="_Toc10090"/>
      <w:r>
        <w:rPr>
          <w:rFonts w:hint="eastAsia" w:ascii="黑体" w:hAnsi="黑体" w:cs="黑体"/>
          <w:b w:val="0"/>
          <w:bCs w:val="0"/>
          <w:sz w:val="28"/>
          <w:szCs w:val="28"/>
          <w:lang w:val="en-US" w:eastAsia="zh-CN"/>
        </w:rPr>
        <w:t>2.</w:t>
      </w:r>
      <w:bookmarkEnd w:id="83"/>
      <w:r>
        <w:rPr>
          <w:rFonts w:hint="eastAsia" w:ascii="黑体" w:hAnsi="黑体" w:cs="黑体"/>
          <w:b w:val="0"/>
          <w:bCs w:val="0"/>
          <w:sz w:val="28"/>
          <w:szCs w:val="28"/>
          <w:lang w:val="en-US" w:eastAsia="zh-CN"/>
        </w:rPr>
        <w:t>信用审核机制不力</w:t>
      </w:r>
    </w:p>
    <w:p>
      <w:pPr>
        <w:keepNext w:val="0"/>
        <w:keepLines w:val="0"/>
        <w:pageBreakBefore w:val="0"/>
        <w:widowControl w:val="0"/>
        <w:kinsoku/>
        <w:wordWrap/>
        <w:overflowPunct/>
        <w:topLinePunct w:val="0"/>
        <w:autoSpaceDE/>
        <w:autoSpaceDN/>
        <w:bidi w:val="0"/>
        <w:adjustRightInd/>
        <w:snapToGrid/>
        <w:spacing w:line="360" w:lineRule="auto"/>
        <w:ind w:firstLine="472"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应收账款的增加，有利于减少产成品，加速资金周转，但同时也会增加对应的人工成本以及因款项无法及时收回，</w:t>
      </w:r>
      <w:r>
        <w:rPr>
          <w:rFonts w:hint="eastAsia" w:ascii="宋体" w:hAnsi="宋体" w:cs="宋体"/>
          <w:highlight w:val="none"/>
          <w:lang w:val="en-US" w:eastAsia="zh-CN"/>
        </w:rPr>
        <w:t>成为</w:t>
      </w:r>
      <w:r>
        <w:rPr>
          <w:rFonts w:hint="eastAsia" w:ascii="宋体" w:hAnsi="宋体" w:eastAsia="宋体" w:cs="宋体"/>
          <w:highlight w:val="none"/>
          <w:lang w:val="en-US" w:eastAsia="zh-CN"/>
        </w:rPr>
        <w:t>坏账，为企业带来经济</w:t>
      </w:r>
      <w:r>
        <w:rPr>
          <w:rFonts w:hint="eastAsia" w:ascii="宋体" w:hAnsi="宋体" w:cs="宋体"/>
          <w:highlight w:val="none"/>
          <w:lang w:val="en-US" w:eastAsia="zh-CN"/>
        </w:rPr>
        <w:t>问题</w:t>
      </w:r>
      <w:r>
        <w:rPr>
          <w:rFonts w:hint="eastAsia" w:ascii="宋体" w:hAnsi="宋体" w:eastAsia="宋体" w:cs="宋体"/>
          <w:highlight w:val="none"/>
          <w:lang w:val="en-US" w:eastAsia="zh-CN"/>
        </w:rPr>
        <w:t>。根据上述数据分析来看，应收账款从</w:t>
      </w:r>
      <w:r>
        <w:rPr>
          <w:rFonts w:hint="eastAsia" w:ascii="Times New Roman" w:hAnsi="Times New Roman" w:cs="Times New Roman"/>
          <w:sz w:val="24"/>
          <w:highlight w:val="none"/>
          <w:lang w:val="en-US" w:eastAsia="zh-CN"/>
        </w:rPr>
        <w:t>2015——2019</w:t>
      </w:r>
      <w:r>
        <w:rPr>
          <w:rFonts w:hint="eastAsia" w:ascii="宋体" w:hAnsi="宋体" w:eastAsia="宋体" w:cs="宋体"/>
          <w:highlight w:val="none"/>
          <w:lang w:val="en-US" w:eastAsia="zh-CN"/>
        </w:rPr>
        <w:t>，五年来应收账款金额持续上升，主要原因是企业迫于将产成品流入市场，在与经销商合作时，放宽信用赊销政策，允许其以较低门槛进入。由于企业对应收账款风险意识的限制，企业并未对交易期限进行严格把控，该企业相当部分资金被经销商占用，导致企业资金周转次数减少，周转速度变慢，限制其他项目发展，为企业带来一系列负面影响。在应收账款方面，企业制定了应收账款管理事项以及经销商未按期还款规则，但该制度执行力度有限，未能</w:t>
      </w:r>
      <w:r>
        <w:rPr>
          <w:rFonts w:hint="eastAsia" w:ascii="宋体" w:hAnsi="宋体" w:cs="宋体"/>
          <w:highlight w:val="none"/>
          <w:lang w:val="en-US" w:eastAsia="zh-CN"/>
        </w:rPr>
        <w:t>从根本上</w:t>
      </w:r>
      <w:r>
        <w:rPr>
          <w:rFonts w:hint="eastAsia" w:ascii="宋体" w:hAnsi="宋体" w:eastAsia="宋体" w:cs="宋体"/>
          <w:highlight w:val="none"/>
          <w:lang w:val="en-US" w:eastAsia="zh-CN"/>
        </w:rPr>
        <w:t>对合作商进行信用评估，企业实际发生业务时，仍会面临因不明晰经销商信用而发生款项无法顺利收回。</w:t>
      </w:r>
    </w:p>
    <w:p>
      <w:pPr>
        <w:pStyle w:val="2"/>
        <w:keepNext/>
        <w:keepLines/>
        <w:pageBreakBefore w:val="0"/>
        <w:widowControl/>
        <w:numPr>
          <w:ilvl w:val="0"/>
          <w:numId w:val="0"/>
        </w:numPr>
        <w:kinsoku/>
        <w:wordWrap/>
        <w:overflowPunct/>
        <w:topLinePunct w:val="0"/>
        <w:autoSpaceDE/>
        <w:autoSpaceDN/>
        <w:bidi w:val="0"/>
        <w:adjustRightInd/>
        <w:snapToGrid/>
        <w:spacing w:line="720" w:lineRule="auto"/>
        <w:jc w:val="center"/>
        <w:textAlignment w:val="auto"/>
        <w:outlineLvl w:val="0"/>
        <w:rPr>
          <w:rFonts w:hint="eastAsia" w:ascii="黑体" w:hAnsi="黑体" w:cs="黑体"/>
          <w:b w:val="0"/>
          <w:bCs w:val="0"/>
          <w:i w:val="0"/>
          <w:iCs w:val="0"/>
          <w:sz w:val="32"/>
          <w:szCs w:val="32"/>
          <w:lang w:val="en-US" w:eastAsia="zh-CN"/>
        </w:rPr>
      </w:pPr>
      <w:bookmarkStart w:id="84" w:name="_Toc28197"/>
      <w:bookmarkStart w:id="85" w:name="_Toc493958021"/>
      <w:bookmarkStart w:id="86" w:name="_Toc23000"/>
      <w:bookmarkStart w:id="87" w:name="_Toc1943"/>
      <w:bookmarkStart w:id="88" w:name="_Toc482619867"/>
      <w:r>
        <w:rPr>
          <w:rFonts w:hint="eastAsia" w:ascii="黑体" w:hAnsi="黑体" w:cs="黑体"/>
          <w:b w:val="0"/>
          <w:bCs w:val="0"/>
          <w:i w:val="0"/>
          <w:iCs w:val="0"/>
          <w:sz w:val="32"/>
          <w:szCs w:val="32"/>
          <w:lang w:val="en-US" w:eastAsia="zh-CN"/>
        </w:rPr>
        <w:t>五、立讯精密营运资金管理对策</w:t>
      </w:r>
      <w:bookmarkEnd w:id="84"/>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根据上述对立讯精密基于要素以及基于渠道的营运资金管理分析，得出营运资金管理在企业中</w:t>
      </w:r>
      <w:r>
        <w:rPr>
          <w:rFonts w:hint="eastAsia" w:ascii="宋体" w:hAnsi="宋体" w:cs="宋体"/>
          <w:highlight w:val="none"/>
          <w:lang w:val="en-US" w:eastAsia="zh-CN"/>
        </w:rPr>
        <w:t>极为重要</w:t>
      </w:r>
      <w:r>
        <w:rPr>
          <w:rFonts w:hint="eastAsia" w:ascii="宋体" w:hAnsi="宋体" w:eastAsia="宋体" w:cs="宋体"/>
          <w:highlight w:val="none"/>
          <w:lang w:val="en-US" w:eastAsia="zh-CN"/>
        </w:rPr>
        <w:t>。</w:t>
      </w:r>
      <w:r>
        <w:rPr>
          <w:rFonts w:hint="eastAsia" w:ascii="宋体" w:hAnsi="宋体" w:cs="宋体"/>
          <w:highlight w:val="none"/>
          <w:lang w:val="en-US" w:eastAsia="zh-CN"/>
        </w:rPr>
        <w:t>立讯精密</w:t>
      </w:r>
      <w:r>
        <w:rPr>
          <w:rFonts w:hint="eastAsia" w:ascii="宋体" w:hAnsi="宋体" w:eastAsia="宋体" w:cs="宋体"/>
          <w:highlight w:val="none"/>
          <w:lang w:val="en-US" w:eastAsia="zh-CN"/>
        </w:rPr>
        <w:t>想要提高获利，稳固市场地位，可通过优化营运资金管理，加强对各环节的内部控制，从而降低企业在发展过程中可能遇到的风险。因此，针对以上立讯精密营运管理存在的问题，将提供以下解决策略。</w:t>
      </w:r>
    </w:p>
    <w:bookmarkEnd w:id="85"/>
    <w:bookmarkEnd w:id="86"/>
    <w:bookmarkEnd w:id="87"/>
    <w:bookmarkEnd w:id="88"/>
    <w:p>
      <w:pPr>
        <w:pStyle w:val="4"/>
        <w:keepNext/>
        <w:keepLines/>
        <w:pageBreakBefore w:val="0"/>
        <w:widowControl/>
        <w:numPr>
          <w:ilvl w:val="0"/>
          <w:numId w:val="0"/>
        </w:numPr>
        <w:kinsoku/>
        <w:wordWrap/>
        <w:overflowPunct/>
        <w:topLinePunct w:val="0"/>
        <w:autoSpaceDE/>
        <w:autoSpaceDN/>
        <w:bidi w:val="0"/>
        <w:adjustRightInd/>
        <w:snapToGrid/>
        <w:ind w:firstLine="592" w:firstLineChars="200"/>
        <w:textAlignment w:val="auto"/>
        <w:rPr>
          <w:rFonts w:hint="eastAsia" w:ascii="黑体" w:hAnsi="黑体" w:eastAsia="黑体" w:cs="黑体"/>
          <w:lang w:val="en-US" w:eastAsia="zh-CN"/>
        </w:rPr>
      </w:pPr>
      <w:bookmarkStart w:id="89" w:name="_Toc6733"/>
      <w:r>
        <w:rPr>
          <w:rFonts w:hint="eastAsia" w:ascii="黑体" w:hAnsi="黑体" w:cs="黑体"/>
          <w:lang w:val="en-US" w:eastAsia="zh-CN"/>
        </w:rPr>
        <w:t>（一）</w:t>
      </w:r>
      <w:r>
        <w:rPr>
          <w:rFonts w:hint="eastAsia" w:ascii="黑体" w:hAnsi="黑体" w:eastAsia="黑体" w:cs="黑体"/>
          <w:lang w:val="en-US" w:eastAsia="zh-CN"/>
        </w:rPr>
        <w:t>降低企业采购成本</w:t>
      </w:r>
      <w:bookmarkEnd w:id="89"/>
    </w:p>
    <w:p>
      <w:pPr>
        <w:keepNext w:val="0"/>
        <w:keepLines w:val="0"/>
        <w:pageBreakBefore w:val="0"/>
        <w:widowControl/>
        <w:kinsoku/>
        <w:wordWrap/>
        <w:overflowPunct/>
        <w:topLinePunct w:val="0"/>
        <w:autoSpaceDE/>
        <w:autoSpaceDN/>
        <w:bidi w:val="0"/>
        <w:adjustRightInd/>
        <w:snapToGrid/>
        <w:spacing w:line="360" w:lineRule="auto"/>
        <w:ind w:left="0" w:leftChars="0" w:firstLine="552" w:firstLineChars="200"/>
        <w:textAlignment w:val="auto"/>
        <w:outlineLvl w:val="2"/>
        <w:rPr>
          <w:rFonts w:hint="eastAsia"/>
          <w:sz w:val="28"/>
          <w:szCs w:val="28"/>
          <w:highlight w:val="yellow"/>
          <w:lang w:val="en-US" w:eastAsia="zh-CN"/>
        </w:rPr>
      </w:pPr>
      <w:bookmarkStart w:id="90" w:name="_Toc13180"/>
      <w:r>
        <w:rPr>
          <w:rFonts w:hint="eastAsia" w:ascii="黑体" w:hAnsi="黑体" w:eastAsia="黑体" w:cs="黑体"/>
          <w:b w:val="0"/>
          <w:bCs w:val="0"/>
          <w:spacing w:val="-2"/>
          <w:sz w:val="28"/>
          <w:szCs w:val="28"/>
          <w:lang w:val="en-US" w:eastAsia="zh-CN" w:bidi="ar-SA"/>
        </w:rPr>
        <w:t>1.与供应商建立良好战略合作关系</w:t>
      </w:r>
      <w:bookmarkEnd w:id="90"/>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立讯精密逐年应付款项增大，周转期较高，过多占用供应商资金问题，可通过实施供应商分类管理减少部分资金的占用，减少企业负债，维护企业信誉。</w:t>
      </w:r>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首先，根据质量、成本、交货、技术等方面对供应商进行等级划分，将其划分为长期合作型、短期合作型，长期合作型是指具备整体订货批量大、资源共享程度高、共担风险与收益、关注长远利益、合作关系稳定等特征的企业，短期合作型包括与该企业目前有信用评级中等、单次订货量小、普通交易关系等特征。</w:t>
      </w:r>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其次，对于长期合作型，基于过去交易的信任度等标准，优先归为战略合作对象，分配</w:t>
      </w:r>
      <w:r>
        <w:rPr>
          <w:rFonts w:hint="eastAsia" w:ascii="Times New Roman" w:hAnsi="Times New Roman" w:cs="Times New Roman"/>
          <w:sz w:val="24"/>
          <w:highlight w:val="none"/>
          <w:lang w:val="en-US" w:eastAsia="zh-CN"/>
        </w:rPr>
        <w:t>60%</w:t>
      </w:r>
      <w:r>
        <w:rPr>
          <w:rFonts w:hint="eastAsia" w:ascii="宋体" w:hAnsi="宋体" w:eastAsia="宋体" w:cs="宋体"/>
          <w:highlight w:val="none"/>
          <w:lang w:val="en-US" w:eastAsia="zh-CN"/>
        </w:rPr>
        <w:t>以上的采购量，降低企业选择短期或首次合作供应商所带来的采购风险。企业在面对短期合作型的供应商时，也应该关注评估结果，积极寻找可发展为长期战略关系的合作商。同时，对整体评价较差的</w:t>
      </w:r>
      <w:r>
        <w:rPr>
          <w:rFonts w:hint="eastAsia" w:ascii="宋体" w:hAnsi="宋体" w:cs="宋体"/>
          <w:highlight w:val="none"/>
          <w:lang w:val="en-US" w:eastAsia="zh-CN"/>
        </w:rPr>
        <w:t>厂</w:t>
      </w:r>
      <w:r>
        <w:rPr>
          <w:rFonts w:hint="eastAsia" w:ascii="宋体" w:hAnsi="宋体" w:eastAsia="宋体" w:cs="宋体"/>
          <w:highlight w:val="none"/>
          <w:lang w:val="en-US" w:eastAsia="zh-CN"/>
        </w:rPr>
        <w:t>商，</w:t>
      </w:r>
      <w:r>
        <w:rPr>
          <w:rFonts w:hint="eastAsia" w:ascii="宋体" w:hAnsi="宋体" w:cs="宋体"/>
          <w:highlight w:val="none"/>
          <w:lang w:val="en-US" w:eastAsia="zh-CN"/>
        </w:rPr>
        <w:t>通过</w:t>
      </w:r>
      <w:r>
        <w:rPr>
          <w:rFonts w:hint="eastAsia" w:ascii="宋体" w:hAnsi="宋体" w:eastAsia="宋体" w:cs="宋体"/>
          <w:highlight w:val="none"/>
          <w:lang w:val="en-US" w:eastAsia="zh-CN"/>
        </w:rPr>
        <w:t>减少合作关系，降低采购风险。</w:t>
      </w:r>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最后，对于企业想要积极或已经与企业建立良好的战略合作关系的供应商，在营运资金管理时，适当缩短应付账款期限，让资金流通到供应商企业中，营造良好的企业形象。同样，在于重要程度就相对低的短期合作型供应商，需关注供应商企业经营情况，灵活应对，适当延长付款周期。用最大努力中和占用供应商企业资金与企业信誉关系。</w:t>
      </w:r>
    </w:p>
    <w:p>
      <w:pPr>
        <w:keepNext w:val="0"/>
        <w:keepLines w:val="0"/>
        <w:pageBreakBefore w:val="0"/>
        <w:widowControl/>
        <w:kinsoku/>
        <w:wordWrap/>
        <w:overflowPunct/>
        <w:topLinePunct w:val="0"/>
        <w:autoSpaceDE/>
        <w:autoSpaceDN/>
        <w:bidi w:val="0"/>
        <w:adjustRightInd/>
        <w:snapToGrid/>
        <w:spacing w:line="360" w:lineRule="auto"/>
        <w:ind w:left="0" w:leftChars="0" w:firstLine="552" w:firstLineChars="200"/>
        <w:textAlignment w:val="auto"/>
        <w:outlineLvl w:val="2"/>
        <w:rPr>
          <w:rFonts w:hint="default"/>
          <w:sz w:val="24"/>
          <w:szCs w:val="24"/>
          <w:lang w:val="en-US" w:eastAsia="zh-CN"/>
        </w:rPr>
      </w:pPr>
      <w:bookmarkStart w:id="91" w:name="_Toc29415"/>
      <w:bookmarkStart w:id="92" w:name="_Toc479690675"/>
      <w:bookmarkStart w:id="93" w:name="_Toc479691040"/>
      <w:r>
        <w:rPr>
          <w:rFonts w:hint="eastAsia" w:ascii="黑体" w:hAnsi="黑体" w:eastAsia="黑体" w:cs="黑体"/>
          <w:b w:val="0"/>
          <w:bCs w:val="0"/>
          <w:spacing w:val="-2"/>
          <w:sz w:val="28"/>
          <w:szCs w:val="28"/>
          <w:lang w:val="en-US" w:eastAsia="zh-CN" w:bidi="ar-SA"/>
        </w:rPr>
        <w:t>2.控制采购风险</w:t>
      </w:r>
      <w:bookmarkEnd w:id="91"/>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eastAsia" w:ascii="宋体" w:hAnsi="宋体" w:eastAsia="宋体" w:cs="宋体"/>
          <w:highlight w:val="none"/>
          <w:lang w:val="en-US" w:eastAsia="zh-CN"/>
        </w:rPr>
      </w:pPr>
      <w:bookmarkStart w:id="94" w:name="_Toc482619872"/>
      <w:bookmarkStart w:id="95" w:name="_Toc493958026"/>
      <w:bookmarkStart w:id="96" w:name="_Toc493957669"/>
      <w:r>
        <w:rPr>
          <w:rFonts w:hint="eastAsia" w:ascii="宋体" w:hAnsi="宋体" w:eastAsia="宋体" w:cs="宋体"/>
          <w:highlight w:val="none"/>
          <w:lang w:val="en-US" w:eastAsia="zh-CN"/>
        </w:rPr>
        <w:t>采购风险分为外部采购风险和内部采购风险，外部采购风险受市场环境的制约，</w:t>
      </w:r>
      <w:r>
        <w:rPr>
          <w:rFonts w:hint="eastAsia" w:ascii="宋体" w:hAnsi="宋体" w:cs="宋体"/>
          <w:highlight w:val="none"/>
          <w:lang w:val="en-US" w:eastAsia="zh-CN"/>
        </w:rPr>
        <w:t>仅凭立讯精密自身</w:t>
      </w:r>
      <w:r>
        <w:rPr>
          <w:rFonts w:hint="eastAsia" w:ascii="宋体" w:hAnsi="宋体" w:eastAsia="宋体" w:cs="宋体"/>
          <w:highlight w:val="none"/>
          <w:lang w:val="en-US" w:eastAsia="zh-CN"/>
        </w:rPr>
        <w:t>很难对其造成影响，也无法与之抗衡。但内部采购风险，</w:t>
      </w:r>
      <w:r>
        <w:rPr>
          <w:rFonts w:hint="eastAsia" w:ascii="宋体" w:hAnsi="宋体" w:cs="宋体"/>
          <w:highlight w:val="none"/>
          <w:lang w:val="en-US" w:eastAsia="zh-CN"/>
        </w:rPr>
        <w:t>立讯精密</w:t>
      </w:r>
      <w:r>
        <w:rPr>
          <w:rFonts w:hint="eastAsia" w:ascii="宋体" w:hAnsi="宋体" w:eastAsia="宋体" w:cs="宋体"/>
          <w:highlight w:val="none"/>
          <w:lang w:val="en-US" w:eastAsia="zh-CN"/>
        </w:rPr>
        <w:t>可以通过控制，减少在风险时可能面临的损失。内部风险可以通过以下几点得到改善，第一，在采购计划实施前，明确采购目标，制定相关战略。第二，通过对取得成本、储存成本、缺货成本数据的整理，将存货成本进行核算，并确定企业的最佳持有量，减少资源浪费。第三，采购相关管理人员职位设置要相互制约，避免专权独断，并要求各司其职，发挥岗位职能，降低采购时可能遇到的各项风险。</w:t>
      </w:r>
    </w:p>
    <w:p>
      <w:pPr>
        <w:pStyle w:val="4"/>
        <w:keepNext/>
        <w:keepLines/>
        <w:pageBreakBefore w:val="0"/>
        <w:widowControl/>
        <w:numPr>
          <w:ilvl w:val="0"/>
          <w:numId w:val="0"/>
        </w:numPr>
        <w:kinsoku/>
        <w:wordWrap/>
        <w:overflowPunct/>
        <w:topLinePunct w:val="0"/>
        <w:autoSpaceDE/>
        <w:autoSpaceDN/>
        <w:bidi w:val="0"/>
        <w:adjustRightInd/>
        <w:snapToGrid/>
        <w:ind w:firstLine="592" w:firstLineChars="200"/>
        <w:textAlignment w:val="auto"/>
        <w:rPr>
          <w:rFonts w:hint="eastAsia"/>
          <w:lang w:val="en-US" w:eastAsia="zh-CN"/>
        </w:rPr>
      </w:pPr>
      <w:bookmarkStart w:id="97" w:name="_Toc10225"/>
      <w:r>
        <w:rPr>
          <w:rFonts w:hint="eastAsia" w:ascii="黑体" w:hAnsi="黑体" w:cs="黑体"/>
          <w:lang w:val="en-US" w:eastAsia="zh-CN"/>
        </w:rPr>
        <w:t>（二）</w:t>
      </w:r>
      <w:r>
        <w:rPr>
          <w:rFonts w:hint="eastAsia"/>
          <w:lang w:val="en-US" w:eastAsia="zh-CN"/>
        </w:rPr>
        <w:t>降低企业生产成本</w:t>
      </w:r>
      <w:bookmarkEnd w:id="97"/>
    </w:p>
    <w:p>
      <w:pPr>
        <w:keepNext w:val="0"/>
        <w:keepLines w:val="0"/>
        <w:pageBreakBefore w:val="0"/>
        <w:widowControl/>
        <w:kinsoku/>
        <w:wordWrap/>
        <w:overflowPunct/>
        <w:topLinePunct w:val="0"/>
        <w:autoSpaceDE/>
        <w:autoSpaceDN/>
        <w:bidi w:val="0"/>
        <w:adjustRightInd/>
        <w:snapToGrid/>
        <w:spacing w:line="360" w:lineRule="auto"/>
        <w:ind w:left="0" w:leftChars="0" w:firstLine="552" w:firstLineChars="200"/>
        <w:textAlignment w:val="auto"/>
        <w:outlineLvl w:val="2"/>
        <w:rPr>
          <w:rFonts w:hint="eastAsia" w:ascii="黑体" w:hAnsi="黑体" w:eastAsia="黑体" w:cs="黑体"/>
          <w:b w:val="0"/>
          <w:bCs w:val="0"/>
          <w:spacing w:val="-2"/>
          <w:sz w:val="28"/>
          <w:szCs w:val="28"/>
          <w:highlight w:val="none"/>
          <w:lang w:val="en-US" w:eastAsia="zh-CN" w:bidi="ar-SA"/>
        </w:rPr>
      </w:pPr>
      <w:bookmarkStart w:id="98" w:name="_Toc12901"/>
      <w:r>
        <w:rPr>
          <w:rFonts w:hint="eastAsia" w:ascii="黑体" w:hAnsi="黑体" w:eastAsia="黑体" w:cs="黑体"/>
          <w:b w:val="0"/>
          <w:bCs w:val="0"/>
          <w:spacing w:val="-2"/>
          <w:sz w:val="28"/>
          <w:szCs w:val="28"/>
          <w:lang w:val="en-US" w:eastAsia="zh-CN" w:bidi="ar-SA"/>
        </w:rPr>
        <w:t>1.</w:t>
      </w:r>
      <w:r>
        <w:rPr>
          <w:rFonts w:hint="eastAsia" w:ascii="黑体" w:hAnsi="黑体" w:eastAsia="黑体" w:cs="黑体"/>
          <w:b w:val="0"/>
          <w:bCs w:val="0"/>
          <w:spacing w:val="-2"/>
          <w:sz w:val="28"/>
          <w:szCs w:val="28"/>
          <w:highlight w:val="none"/>
          <w:lang w:val="en-US" w:eastAsia="zh-CN" w:bidi="ar-SA"/>
        </w:rPr>
        <w:t>增加柔性化和精细运作模式</w:t>
      </w:r>
      <w:bookmarkEnd w:id="98"/>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企业柔性意味着员工、制造机器与软件三方面进行柔和，是整体的可变性，是从组织管理到技术系统、和支撑市场变化能力的体现。柔性化改变传统的生产模式，依据现行成本效益原则，对产品的适应能力较为及时，加快企业在产品流转。</w:t>
      </w:r>
      <w:r>
        <w:rPr>
          <w:rFonts w:hint="eastAsia" w:ascii="宋体" w:hAnsi="宋体" w:cs="宋体"/>
          <w:highlight w:val="none"/>
          <w:lang w:val="en-US" w:eastAsia="zh-CN"/>
        </w:rPr>
        <w:t>因此，</w:t>
      </w:r>
      <w:r>
        <w:rPr>
          <w:rFonts w:hint="eastAsia" w:ascii="宋体" w:hAnsi="宋体" w:eastAsia="宋体" w:cs="宋体"/>
          <w:highlight w:val="none"/>
          <w:lang w:val="en-US" w:eastAsia="zh-CN"/>
        </w:rPr>
        <w:t>需要</w:t>
      </w:r>
      <w:r>
        <w:rPr>
          <w:rFonts w:hint="eastAsia" w:ascii="宋体" w:hAnsi="宋体" w:cs="宋体"/>
          <w:highlight w:val="none"/>
          <w:lang w:val="en-US" w:eastAsia="zh-CN"/>
        </w:rPr>
        <w:t>立讯精密</w:t>
      </w:r>
      <w:r>
        <w:rPr>
          <w:rFonts w:hint="eastAsia" w:ascii="宋体" w:hAnsi="宋体" w:eastAsia="宋体" w:cs="宋体"/>
          <w:highlight w:val="none"/>
          <w:lang w:val="en-US" w:eastAsia="zh-CN"/>
        </w:rPr>
        <w:t>将生产流程进行大规模融合，</w:t>
      </w:r>
      <w:r>
        <w:rPr>
          <w:rFonts w:hint="eastAsia" w:ascii="宋体" w:hAnsi="宋体" w:cs="宋体"/>
          <w:highlight w:val="none"/>
          <w:lang w:val="en-US" w:eastAsia="zh-CN"/>
        </w:rPr>
        <w:t>并</w:t>
      </w:r>
      <w:r>
        <w:rPr>
          <w:rFonts w:hint="eastAsia" w:ascii="宋体" w:hAnsi="宋体" w:eastAsia="宋体" w:cs="宋体"/>
          <w:highlight w:val="none"/>
          <w:lang w:val="en-US" w:eastAsia="zh-CN"/>
        </w:rPr>
        <w:t>将产品拆分为不同板块，根据板块之间的相关性进行分类整理。精益生产</w:t>
      </w:r>
      <w:r>
        <w:rPr>
          <w:rFonts w:hint="eastAsia" w:ascii="宋体" w:hAnsi="宋体" w:cs="宋体"/>
          <w:highlight w:val="none"/>
          <w:lang w:val="en-US" w:eastAsia="zh-CN"/>
        </w:rPr>
        <w:t>借助整体优化，</w:t>
      </w:r>
      <w:r>
        <w:rPr>
          <w:rFonts w:hint="eastAsia" w:ascii="宋体" w:hAnsi="宋体" w:eastAsia="宋体" w:cs="宋体"/>
          <w:highlight w:val="none"/>
          <w:lang w:val="en-US" w:eastAsia="zh-CN"/>
        </w:rPr>
        <w:t>对企业自身及供应链不断进行微观改进，重视产品质量，对其采取严格把控。采取柔性化和精细运作的生产模式，能够帮助</w:t>
      </w:r>
      <w:r>
        <w:rPr>
          <w:rFonts w:hint="eastAsia" w:ascii="宋体" w:hAnsi="宋体" w:cs="宋体"/>
          <w:highlight w:val="none"/>
          <w:lang w:val="en-US" w:eastAsia="zh-CN"/>
        </w:rPr>
        <w:t>立讯精密</w:t>
      </w:r>
      <w:r>
        <w:rPr>
          <w:rFonts w:hint="eastAsia" w:ascii="宋体" w:hAnsi="宋体" w:eastAsia="宋体" w:cs="宋体"/>
          <w:highlight w:val="none"/>
          <w:lang w:val="en-US" w:eastAsia="zh-CN"/>
        </w:rPr>
        <w:t>增强对市场灵敏、快捷的反应能力，产出高质高量的库存商品，从而提高在产品的输出，加速资金流转。</w:t>
      </w:r>
    </w:p>
    <w:p>
      <w:pPr>
        <w:keepNext w:val="0"/>
        <w:keepLines w:val="0"/>
        <w:pageBreakBefore w:val="0"/>
        <w:widowControl/>
        <w:kinsoku/>
        <w:wordWrap/>
        <w:overflowPunct/>
        <w:topLinePunct w:val="0"/>
        <w:autoSpaceDE/>
        <w:autoSpaceDN/>
        <w:bidi w:val="0"/>
        <w:adjustRightInd/>
        <w:snapToGrid/>
        <w:spacing w:line="360" w:lineRule="auto"/>
        <w:ind w:firstLine="552" w:firstLineChars="200"/>
        <w:textAlignment w:val="auto"/>
        <w:outlineLvl w:val="2"/>
        <w:rPr>
          <w:rFonts w:hint="default" w:ascii="黑体" w:hAnsi="黑体" w:eastAsia="黑体" w:cs="黑体"/>
          <w:b w:val="0"/>
          <w:bCs w:val="0"/>
          <w:spacing w:val="-2"/>
          <w:sz w:val="28"/>
          <w:szCs w:val="28"/>
          <w:lang w:val="en-US" w:eastAsia="zh-CN" w:bidi="ar-SA"/>
        </w:rPr>
      </w:pPr>
      <w:bookmarkStart w:id="99" w:name="_Toc19461"/>
      <w:r>
        <w:rPr>
          <w:rFonts w:hint="eastAsia" w:ascii="黑体" w:hAnsi="黑体" w:eastAsia="黑体" w:cs="黑体"/>
          <w:b w:val="0"/>
          <w:bCs w:val="0"/>
          <w:spacing w:val="-2"/>
          <w:sz w:val="28"/>
          <w:szCs w:val="28"/>
          <w:lang w:val="en-US" w:eastAsia="zh-CN" w:bidi="ar-SA"/>
        </w:rPr>
        <w:t>2.加强智能产品与新兴技术的研发</w:t>
      </w:r>
      <w:bookmarkEnd w:id="99"/>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加快提升</w:t>
      </w:r>
      <w:r>
        <w:rPr>
          <w:rFonts w:hint="eastAsia" w:ascii="宋体" w:hAnsi="宋体" w:cs="宋体"/>
          <w:highlight w:val="none"/>
          <w:lang w:val="en-US" w:eastAsia="zh-CN"/>
        </w:rPr>
        <w:t>立讯精密</w:t>
      </w:r>
      <w:r>
        <w:rPr>
          <w:rFonts w:hint="eastAsia" w:ascii="宋体" w:hAnsi="宋体" w:eastAsia="宋体" w:cs="宋体"/>
          <w:highlight w:val="none"/>
          <w:lang w:val="en-US" w:eastAsia="zh-CN"/>
        </w:rPr>
        <w:t>自动化生产，能够加快在产品流转。</w:t>
      </w:r>
      <w:r>
        <w:rPr>
          <w:rFonts w:hint="eastAsia" w:ascii="宋体" w:hAnsi="宋体" w:cs="宋体"/>
          <w:highlight w:val="none"/>
          <w:lang w:val="en-US" w:eastAsia="zh-CN"/>
        </w:rPr>
        <w:t>立讯精密</w:t>
      </w:r>
      <w:r>
        <w:rPr>
          <w:rFonts w:hint="eastAsia" w:ascii="宋体" w:hAnsi="宋体" w:eastAsia="宋体" w:cs="宋体"/>
          <w:highlight w:val="none"/>
          <w:lang w:val="en-US" w:eastAsia="zh-CN"/>
        </w:rPr>
        <w:t>首先根据自身生产情况、未来发展规划，预算得出所需设备成本与人工成本，求出最佳自动化占有量。可通过加强智能产品与新兴技术的研发，提高设备生产技术，设计制造出符合消费者需求的产品，不断提升生产流程机械化、自动化。同时，将柔性生产和精细运作相结合，改变传统的生产模式，将产品生产模块进行拆分，并利用数控机床进行生产，生产工人只需严格把控产品质量。自动化水平的提高，既能使生产效率得到提高，又能减少人工成本，实现产品种类的多样化。企业可利用目前发展优势，稳固提高未来经济效益。</w:t>
      </w:r>
      <w:bookmarkStart w:id="100" w:name="_Toc31590"/>
      <w:bookmarkStart w:id="101" w:name="_Toc7172"/>
    </w:p>
    <w:p>
      <w:pPr>
        <w:keepNext w:val="0"/>
        <w:keepLines w:val="0"/>
        <w:pageBreakBefore w:val="0"/>
        <w:widowControl/>
        <w:kinsoku/>
        <w:wordWrap/>
        <w:overflowPunct/>
        <w:topLinePunct w:val="0"/>
        <w:autoSpaceDE/>
        <w:autoSpaceDN/>
        <w:bidi w:val="0"/>
        <w:adjustRightInd/>
        <w:snapToGrid/>
        <w:spacing w:line="360" w:lineRule="auto"/>
        <w:ind w:firstLine="592" w:firstLineChars="200"/>
        <w:textAlignment w:val="auto"/>
        <w:outlineLvl w:val="1"/>
        <w:rPr>
          <w:rFonts w:hint="eastAsia" w:ascii="宋体" w:hAnsi="宋体" w:eastAsia="宋体" w:cs="宋体"/>
          <w:sz w:val="30"/>
          <w:szCs w:val="30"/>
        </w:rPr>
      </w:pPr>
      <w:bookmarkStart w:id="102" w:name="_Toc29476"/>
      <w:r>
        <w:rPr>
          <w:rFonts w:hint="eastAsia" w:ascii="黑体" w:hAnsi="黑体" w:eastAsia="黑体" w:cs="黑体"/>
          <w:sz w:val="30"/>
          <w:szCs w:val="30"/>
        </w:rPr>
        <w:fldChar w:fldCharType="begin"/>
      </w:r>
      <w:r>
        <w:rPr>
          <w:rFonts w:hint="eastAsia" w:ascii="黑体" w:hAnsi="黑体" w:eastAsia="黑体" w:cs="黑体"/>
          <w:sz w:val="30"/>
          <w:szCs w:val="30"/>
        </w:rPr>
        <w:instrText xml:space="preserve"> HYPERLINK \l _Toc25431 </w:instrText>
      </w:r>
      <w:r>
        <w:rPr>
          <w:rFonts w:hint="eastAsia" w:ascii="黑体" w:hAnsi="黑体" w:eastAsia="黑体" w:cs="黑体"/>
          <w:sz w:val="30"/>
          <w:szCs w:val="30"/>
        </w:rPr>
        <w:fldChar w:fldCharType="separate"/>
      </w:r>
      <w:r>
        <w:rPr>
          <w:rFonts w:hint="eastAsia" w:ascii="黑体" w:hAnsi="黑体" w:eastAsia="黑体" w:cs="黑体"/>
          <w:sz w:val="30"/>
          <w:szCs w:val="30"/>
          <w:lang w:val="en-US" w:eastAsia="zh-CN"/>
        </w:rPr>
        <w:t>（三）</w:t>
      </w:r>
      <w:r>
        <w:rPr>
          <w:rFonts w:hint="eastAsia" w:ascii="黑体" w:hAnsi="黑体" w:eastAsia="黑体" w:cs="黑体"/>
          <w:bCs/>
          <w:spacing w:val="-2"/>
          <w:sz w:val="30"/>
          <w:szCs w:val="30"/>
          <w:lang w:val="en-US" w:eastAsia="zh-CN" w:bidi="ar-SA"/>
        </w:rPr>
        <w:t>提升销售环节的资金回收效率</w:t>
      </w:r>
      <w:r>
        <w:rPr>
          <w:rFonts w:hint="eastAsia" w:ascii="黑体" w:hAnsi="黑体" w:eastAsia="黑体" w:cs="黑体"/>
          <w:sz w:val="30"/>
          <w:szCs w:val="30"/>
        </w:rPr>
        <w:fldChar w:fldCharType="end"/>
      </w:r>
      <w:bookmarkEnd w:id="102"/>
    </w:p>
    <w:p>
      <w:pPr>
        <w:pStyle w:val="47"/>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560" w:firstLineChars="200"/>
        <w:jc w:val="both"/>
        <w:textAlignment w:val="auto"/>
        <w:outlineLvl w:val="2"/>
        <w:rPr>
          <w:rFonts w:hint="eastAsia" w:ascii="黑体" w:hAnsi="黑体" w:eastAsia="黑体" w:cs="黑体"/>
          <w:sz w:val="28"/>
          <w:szCs w:val="28"/>
        </w:rPr>
      </w:pPr>
      <w:bookmarkStart w:id="103" w:name="_Toc1273"/>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_Toc14921 </w:instrText>
      </w:r>
      <w:r>
        <w:rPr>
          <w:rFonts w:hint="eastAsia" w:ascii="黑体" w:hAnsi="黑体" w:eastAsia="黑体" w:cs="黑体"/>
          <w:sz w:val="28"/>
          <w:szCs w:val="28"/>
        </w:rPr>
        <w:fldChar w:fldCharType="separate"/>
      </w:r>
      <w:r>
        <w:rPr>
          <w:rFonts w:hint="eastAsia" w:ascii="黑体" w:hAnsi="黑体" w:eastAsia="黑体" w:cs="黑体"/>
          <w:b w:val="0"/>
          <w:bCs w:val="0"/>
          <w:spacing w:val="-2"/>
          <w:sz w:val="28"/>
          <w:szCs w:val="28"/>
          <w:lang w:val="en-US" w:eastAsia="zh-CN" w:bidi="ar-SA"/>
        </w:rPr>
        <w:t>1.开拓新型销售渠道</w:t>
      </w:r>
      <w:r>
        <w:rPr>
          <w:rFonts w:hint="eastAsia" w:ascii="黑体" w:hAnsi="黑体" w:eastAsia="黑体" w:cs="黑体"/>
          <w:sz w:val="28"/>
          <w:szCs w:val="28"/>
        </w:rPr>
        <w:fldChar w:fldCharType="end"/>
      </w:r>
      <w:bookmarkEnd w:id="103"/>
    </w:p>
    <w:p>
      <w:pPr>
        <w:keepNext w:val="0"/>
        <w:keepLines w:val="0"/>
        <w:pageBreakBefore w:val="0"/>
        <w:widowControl w:val="0"/>
        <w:kinsoku/>
        <w:wordWrap/>
        <w:overflowPunct/>
        <w:topLinePunct w:val="0"/>
        <w:autoSpaceDE/>
        <w:autoSpaceDN/>
        <w:bidi w:val="0"/>
        <w:adjustRightInd/>
        <w:snapToGrid w:val="0"/>
        <w:spacing w:line="360" w:lineRule="auto"/>
        <w:ind w:firstLine="472"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传统的企业销售常常是通过与下游经销商建立合作销售产品，而随着互联网+的不断崛起，连接器制造业的销售也受到冲击不断寻求新的销售渠道，立讯精密也在这新型便捷的互联网交易中采摘到果实，但根据立讯精密近五年的产成品存货周转期不断上升，反映出其对运营模式的探索依然存在很大的提升空间。立讯精密作为生产能够使电子、汽车、医疗设备正常运营的连接器制造商，其产品的呈现既可用于消费者直接使用，也可用于下游制造商加工合成新产品，例如汽车马达、无线电等。因此，从受众群体分类，对产成品的销售不拘泥于向下游经销商集体单位或向个人进行销售，两类销售渠道可同步进行。此外，从地域分类，企业可克服出口的复杂程度，减少出口成本，加大国外产品出口，降低存货周转期限，加速资金流转。 </w:t>
      </w:r>
    </w:p>
    <w:p>
      <w:pPr>
        <w:pStyle w:val="47"/>
        <w:keepNext w:val="0"/>
        <w:keepLines w:val="0"/>
        <w:pageBreakBefore w:val="0"/>
        <w:widowControl/>
        <w:tabs>
          <w:tab w:val="right" w:leader="dot" w:pos="9070"/>
        </w:tabs>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bookmarkStart w:id="104" w:name="_Toc20560"/>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_Toc121 </w:instrText>
      </w:r>
      <w:r>
        <w:rPr>
          <w:rFonts w:hint="eastAsia" w:ascii="宋体" w:hAnsi="宋体" w:eastAsia="宋体" w:cs="宋体"/>
          <w:sz w:val="24"/>
          <w:szCs w:val="24"/>
        </w:rPr>
        <w:fldChar w:fldCharType="separate"/>
      </w:r>
      <w:r>
        <w:rPr>
          <w:rFonts w:hint="eastAsia" w:ascii="黑体" w:hAnsi="黑体" w:eastAsia="黑体" w:cs="黑体"/>
          <w:b w:val="0"/>
          <w:bCs w:val="0"/>
          <w:spacing w:val="-2"/>
          <w:sz w:val="28"/>
          <w:szCs w:val="28"/>
          <w:lang w:val="en-US" w:eastAsia="zh-CN" w:bidi="ar-SA"/>
        </w:rPr>
        <w:t>2.设立商业信用管理部门</w:t>
      </w:r>
      <w:r>
        <w:rPr>
          <w:rFonts w:hint="eastAsia" w:ascii="宋体" w:hAnsi="宋体" w:eastAsia="宋体" w:cs="宋体"/>
          <w:sz w:val="24"/>
          <w:szCs w:val="24"/>
        </w:rPr>
        <w:fldChar w:fldCharType="end"/>
      </w:r>
      <w:bookmarkEnd w:id="104"/>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eastAsia" w:ascii="宋体" w:hAnsi="宋体" w:eastAsia="宋体" w:cs="宋体"/>
          <w:highlight w:val="none"/>
          <w:lang w:val="en-US" w:eastAsia="zh-CN"/>
        </w:rPr>
      </w:pPr>
      <w:r>
        <w:rPr>
          <w:rFonts w:hint="eastAsia" w:ascii="宋体" w:hAnsi="宋体" w:cs="宋体"/>
          <w:highlight w:val="none"/>
          <w:lang w:val="en-US" w:eastAsia="zh-CN"/>
        </w:rPr>
        <w:t>立讯精密</w:t>
      </w:r>
      <w:r>
        <w:rPr>
          <w:rFonts w:hint="eastAsia" w:ascii="宋体" w:hAnsi="宋体" w:eastAsia="宋体" w:cs="宋体"/>
          <w:highlight w:val="none"/>
          <w:lang w:val="en-US" w:eastAsia="zh-CN"/>
        </w:rPr>
        <w:t>账面营业收入有了较大幅度的增长，但是由于部分收入以应收账款的方式存在，企业年度经营性现金流量增长被制约。而货款催收对收回账款的帮助有限，甚至在经销商企业出现资金链断裂破产时，几乎不能收回已经发生的交易款项。因此，</w:t>
      </w:r>
      <w:r>
        <w:rPr>
          <w:rFonts w:hint="eastAsia" w:ascii="宋体" w:hAnsi="宋体" w:cs="宋体"/>
          <w:highlight w:val="none"/>
          <w:lang w:val="en-US" w:eastAsia="zh-CN"/>
        </w:rPr>
        <w:t>立讯精密</w:t>
      </w:r>
      <w:r>
        <w:rPr>
          <w:rFonts w:hint="eastAsia" w:ascii="宋体" w:hAnsi="宋体" w:eastAsia="宋体" w:cs="宋体"/>
          <w:highlight w:val="none"/>
          <w:lang w:val="en-US" w:eastAsia="zh-CN"/>
        </w:rPr>
        <w:t>需要在产品销售前，对客户赊销进行管理。首先，根据信用管理部门审批程序对其进行审批，充分了解客户资产规模、采购存货量、财务状况，并对客户进行信用等级评定，实施信用政策管理分类。接着，由销售部门按照相关信用管理规定对其销售额度进行评估，确定最终额度。该方式既能维持与客户之间的良好合作关系，又能进一步降低企业经营风险。除此之外，</w:t>
      </w:r>
      <w:r>
        <w:rPr>
          <w:rFonts w:hint="eastAsia" w:ascii="宋体" w:hAnsi="宋体" w:cs="宋体"/>
          <w:highlight w:val="none"/>
          <w:lang w:val="en-US" w:eastAsia="zh-CN"/>
        </w:rPr>
        <w:t>立讯精密</w:t>
      </w:r>
      <w:r>
        <w:rPr>
          <w:rFonts w:hint="eastAsia" w:ascii="宋体" w:hAnsi="宋体" w:eastAsia="宋体" w:cs="宋体"/>
          <w:highlight w:val="none"/>
          <w:lang w:val="en-US" w:eastAsia="zh-CN"/>
        </w:rPr>
        <w:t>还应在日常管理中对购买企业密切关注、加强监督控制，当客户经营面临巨大风险时，及时通知相关部门进行催收，降低未来可能发生的坏账损失，提升应收账款在营销渠道中的管理。</w:t>
      </w:r>
    </w:p>
    <w:p>
      <w:pPr>
        <w:pStyle w:val="3"/>
        <w:keepNext w:val="0"/>
        <w:keepLines w:val="0"/>
        <w:pageBreakBefore w:val="0"/>
        <w:widowControl/>
        <w:kinsoku/>
        <w:wordWrap/>
        <w:overflowPunct/>
        <w:topLinePunct w:val="0"/>
        <w:autoSpaceDE/>
        <w:autoSpaceDN/>
        <w:bidi w:val="0"/>
        <w:adjustRightInd/>
        <w:snapToGrid/>
        <w:spacing w:after="0"/>
        <w:ind w:left="0" w:leftChars="0" w:firstLine="472" w:firstLineChars="200"/>
        <w:textAlignment w:val="auto"/>
        <w:rPr>
          <w:rFonts w:hint="eastAsia" w:ascii="宋体" w:hAnsi="宋体" w:cs="宋体"/>
          <w:sz w:val="24"/>
          <w:szCs w:val="24"/>
          <w:lang w:val="en-US" w:eastAsia="zh-CN"/>
        </w:rPr>
      </w:pPr>
    </w:p>
    <w:p>
      <w:pPr>
        <w:pStyle w:val="3"/>
        <w:keepNext w:val="0"/>
        <w:keepLines w:val="0"/>
        <w:pageBreakBefore w:val="0"/>
        <w:widowControl/>
        <w:kinsoku/>
        <w:wordWrap/>
        <w:overflowPunct/>
        <w:topLinePunct w:val="0"/>
        <w:autoSpaceDE/>
        <w:autoSpaceDN/>
        <w:bidi w:val="0"/>
        <w:adjustRightInd/>
        <w:snapToGrid/>
        <w:spacing w:after="0"/>
        <w:ind w:left="0" w:leftChars="0" w:firstLine="0" w:firstLineChars="0"/>
        <w:textAlignment w:val="auto"/>
        <w:rPr>
          <w:rFonts w:hint="eastAsia" w:ascii="宋体" w:hAnsi="宋体" w:cs="宋体"/>
          <w:sz w:val="24"/>
          <w:szCs w:val="24"/>
          <w:lang w:val="en-US" w:eastAsia="zh-CN"/>
        </w:rPr>
      </w:pPr>
    </w:p>
    <w:p>
      <w:pPr>
        <w:pStyle w:val="3"/>
        <w:keepNext w:val="0"/>
        <w:keepLines w:val="0"/>
        <w:pageBreakBefore w:val="0"/>
        <w:widowControl/>
        <w:kinsoku/>
        <w:wordWrap/>
        <w:overflowPunct/>
        <w:topLinePunct w:val="0"/>
        <w:autoSpaceDE/>
        <w:autoSpaceDN/>
        <w:bidi w:val="0"/>
        <w:adjustRightInd/>
        <w:snapToGrid/>
        <w:spacing w:after="0"/>
        <w:ind w:left="0" w:leftChars="0" w:firstLine="0" w:firstLineChars="0"/>
        <w:textAlignment w:val="auto"/>
        <w:rPr>
          <w:rFonts w:hint="eastAsia" w:ascii="宋体" w:hAnsi="宋体" w:cs="宋体"/>
          <w:sz w:val="24"/>
          <w:szCs w:val="24"/>
          <w:lang w:val="en-US" w:eastAsia="zh-CN"/>
        </w:rPr>
      </w:pPr>
    </w:p>
    <w:p>
      <w:pPr>
        <w:pStyle w:val="3"/>
        <w:keepNext w:val="0"/>
        <w:keepLines w:val="0"/>
        <w:pageBreakBefore w:val="0"/>
        <w:widowControl/>
        <w:kinsoku/>
        <w:wordWrap/>
        <w:overflowPunct/>
        <w:topLinePunct w:val="0"/>
        <w:autoSpaceDE/>
        <w:autoSpaceDN/>
        <w:bidi w:val="0"/>
        <w:adjustRightInd/>
        <w:snapToGrid/>
        <w:spacing w:after="0"/>
        <w:ind w:left="0" w:leftChars="0" w:firstLine="0" w:firstLineChars="0"/>
        <w:textAlignment w:val="auto"/>
        <w:rPr>
          <w:rFonts w:hint="eastAsia" w:ascii="宋体" w:hAnsi="宋体" w:cs="宋体"/>
          <w:sz w:val="24"/>
          <w:szCs w:val="24"/>
          <w:lang w:val="en-US" w:eastAsia="zh-CN"/>
        </w:rPr>
      </w:pPr>
    </w:p>
    <w:p>
      <w:pPr>
        <w:pStyle w:val="3"/>
        <w:keepNext w:val="0"/>
        <w:keepLines w:val="0"/>
        <w:pageBreakBefore w:val="0"/>
        <w:widowControl/>
        <w:kinsoku/>
        <w:wordWrap/>
        <w:overflowPunct/>
        <w:topLinePunct w:val="0"/>
        <w:autoSpaceDE/>
        <w:autoSpaceDN/>
        <w:bidi w:val="0"/>
        <w:adjustRightInd/>
        <w:snapToGrid/>
        <w:spacing w:after="0"/>
        <w:ind w:left="0" w:leftChars="0" w:firstLine="0" w:firstLineChars="0"/>
        <w:textAlignment w:val="auto"/>
        <w:rPr>
          <w:rFonts w:hint="eastAsia" w:ascii="宋体" w:hAnsi="宋体" w:cs="宋体"/>
          <w:sz w:val="24"/>
          <w:szCs w:val="24"/>
          <w:lang w:val="en-US" w:eastAsia="zh-CN"/>
        </w:rPr>
      </w:pPr>
    </w:p>
    <w:p>
      <w:pPr>
        <w:pStyle w:val="3"/>
        <w:keepNext w:val="0"/>
        <w:keepLines w:val="0"/>
        <w:pageBreakBefore w:val="0"/>
        <w:widowControl/>
        <w:kinsoku/>
        <w:wordWrap/>
        <w:overflowPunct/>
        <w:topLinePunct w:val="0"/>
        <w:autoSpaceDE/>
        <w:autoSpaceDN/>
        <w:bidi w:val="0"/>
        <w:adjustRightInd/>
        <w:snapToGrid/>
        <w:spacing w:after="0"/>
        <w:ind w:left="0" w:leftChars="0" w:firstLine="0" w:firstLineChars="0"/>
        <w:textAlignment w:val="auto"/>
        <w:rPr>
          <w:rFonts w:hint="eastAsia" w:ascii="宋体" w:hAnsi="宋体" w:cs="宋体"/>
          <w:sz w:val="24"/>
          <w:szCs w:val="24"/>
          <w:lang w:val="en-US" w:eastAsia="zh-CN"/>
        </w:rPr>
      </w:pPr>
    </w:p>
    <w:bookmarkEnd w:id="92"/>
    <w:bookmarkEnd w:id="93"/>
    <w:bookmarkEnd w:id="94"/>
    <w:bookmarkEnd w:id="95"/>
    <w:bookmarkEnd w:id="96"/>
    <w:bookmarkEnd w:id="100"/>
    <w:bookmarkEnd w:id="101"/>
    <w:p>
      <w:pPr>
        <w:pStyle w:val="2"/>
        <w:keepNext/>
        <w:keepLines/>
        <w:pageBreakBefore w:val="0"/>
        <w:widowControl/>
        <w:numPr>
          <w:ilvl w:val="0"/>
          <w:numId w:val="0"/>
        </w:numPr>
        <w:kinsoku/>
        <w:wordWrap/>
        <w:overflowPunct/>
        <w:topLinePunct w:val="0"/>
        <w:autoSpaceDE/>
        <w:autoSpaceDN/>
        <w:bidi w:val="0"/>
        <w:adjustRightInd/>
        <w:snapToGrid/>
        <w:spacing w:line="720" w:lineRule="auto"/>
        <w:jc w:val="center"/>
        <w:textAlignment w:val="auto"/>
        <w:outlineLvl w:val="0"/>
        <w:rPr>
          <w:rFonts w:hint="eastAsia" w:ascii="黑体" w:hAnsi="黑体" w:cs="黑体"/>
          <w:b w:val="0"/>
          <w:bCs w:val="0"/>
          <w:i w:val="0"/>
          <w:iCs w:val="0"/>
          <w:sz w:val="32"/>
          <w:szCs w:val="32"/>
          <w:lang w:val="en-US" w:eastAsia="zh-CN"/>
        </w:rPr>
      </w:pPr>
      <w:bookmarkStart w:id="105" w:name="_Toc26742"/>
      <w:commentRangeStart w:id="34"/>
      <w:r>
        <w:rPr>
          <w:rFonts w:hint="eastAsia" w:ascii="黑体" w:hAnsi="黑体" w:cs="黑体"/>
          <w:b w:val="0"/>
          <w:bCs w:val="0"/>
          <w:i w:val="0"/>
          <w:iCs w:val="0"/>
          <w:sz w:val="32"/>
          <w:szCs w:val="32"/>
          <w:lang w:val="en-US" w:eastAsia="zh-CN"/>
        </w:rPr>
        <w:t>结论</w:t>
      </w:r>
      <w:bookmarkEnd w:id="105"/>
      <w:commentRangeEnd w:id="34"/>
      <w:r>
        <w:commentReference w:id="34"/>
      </w:r>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eastAsia" w:ascii="宋体" w:hAnsi="宋体" w:eastAsia="宋体" w:cs="宋体"/>
          <w:highlight w:val="none"/>
          <w:lang w:val="en-US" w:eastAsia="zh-CN"/>
        </w:rPr>
      </w:pPr>
      <w:bookmarkStart w:id="106" w:name="_Toc482619873"/>
      <w:bookmarkStart w:id="107" w:name="_Toc399237728"/>
      <w:bookmarkStart w:id="108" w:name="_Toc493958027"/>
      <w:r>
        <w:rPr>
          <w:rFonts w:hint="eastAsia" w:ascii="宋体" w:hAnsi="宋体" w:eastAsia="宋体" w:cs="宋体"/>
          <w:highlight w:val="none"/>
          <w:lang w:val="en-US" w:eastAsia="zh-CN"/>
        </w:rPr>
        <w:t>连接器制造业市场竞争极其激烈，企业经济效益却增长较慢，资金周转能力受到限制，企业应当通过对营运资金的管理，加大企业价值创造，加快资金周转速度，提升利润增长速度。本文以立讯精密营运资金状况进行案例研究，概述相关理论，通过要素和渠道两方面对该企业营运资金管理存在的问题进行分析，并基于相关问题提出改善建议，希望以上分析能够</w:t>
      </w:r>
      <w:r>
        <w:rPr>
          <w:rFonts w:hint="eastAsia" w:ascii="宋体" w:hAnsi="宋体" w:cs="宋体"/>
          <w:highlight w:val="none"/>
          <w:lang w:val="en-US" w:eastAsia="zh-CN"/>
        </w:rPr>
        <w:t>为</w:t>
      </w:r>
      <w:r>
        <w:rPr>
          <w:rFonts w:hint="eastAsia" w:ascii="宋体" w:hAnsi="宋体" w:eastAsia="宋体" w:cs="宋体"/>
          <w:highlight w:val="none"/>
          <w:lang w:val="en-US" w:eastAsia="zh-CN"/>
        </w:rPr>
        <w:t>该企业提供有效帮助。结论如下：</w:t>
      </w:r>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eastAsia" w:ascii="宋体" w:hAnsi="宋体" w:eastAsia="宋体" w:cs="宋体"/>
          <w:highlight w:val="none"/>
          <w:lang w:val="en-US" w:eastAsia="zh-CN"/>
        </w:rPr>
      </w:pPr>
      <w:r>
        <w:rPr>
          <w:rFonts w:hint="default" w:ascii="Times New Roman" w:hAnsi="Times New Roman" w:cs="Times New Roman"/>
          <w:highlight w:val="none"/>
          <w:lang w:val="en-US" w:eastAsia="zh-CN"/>
        </w:rPr>
        <w:t>（1）</w:t>
      </w:r>
      <w:r>
        <w:rPr>
          <w:rFonts w:hint="eastAsia" w:ascii="宋体" w:hAnsi="宋体" w:eastAsia="宋体" w:cs="宋体"/>
          <w:highlight w:val="none"/>
          <w:lang w:val="en-US" w:eastAsia="zh-CN"/>
        </w:rPr>
        <w:t>基于要素分析，倾向于单个项目的研究，项目之间关联较少，单一指标无法准确概括企业整体营运资金发展，角度过于片面。而从渠道方面进行分析，能够将企业之间的业务活动进行联系，有利于企业更好的解决问题。</w:t>
      </w:r>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eastAsia" w:ascii="宋体" w:hAnsi="宋体" w:eastAsia="宋体" w:cs="宋体"/>
          <w:highlight w:val="none"/>
          <w:lang w:val="en-US" w:eastAsia="zh-CN"/>
        </w:rPr>
      </w:pPr>
      <w:r>
        <w:rPr>
          <w:rFonts w:hint="default" w:ascii="Times New Roman" w:hAnsi="Times New Roman" w:cs="Times New Roman"/>
          <w:highlight w:val="none"/>
          <w:lang w:val="en-US" w:eastAsia="zh-CN"/>
        </w:rPr>
        <w:t>（2）</w:t>
      </w:r>
      <w:r>
        <w:rPr>
          <w:rFonts w:hint="eastAsia" w:ascii="宋体" w:hAnsi="宋体" w:eastAsia="宋体" w:cs="宋体"/>
          <w:highlight w:val="none"/>
          <w:lang w:val="en-US" w:eastAsia="zh-CN"/>
        </w:rPr>
        <w:t>立讯精密营运资金管理中存在采购渠道过多占用供应商资金、采购计划尚未完善；生产渠道在产品存货储存较多、生产方式自动化提升缓慢；营销渠道产成品增长不稳定、应收款项风险较大等问题。针对以上问题，从各渠道方面提出对策，包括与供应商建立良好战略合作关系、控制采购风险；增加柔性化和精细运作模式、加强智能产品与新兴技术的研发；</w:t>
      </w:r>
      <w:r>
        <w:rPr>
          <w:rFonts w:hint="eastAsia" w:ascii="宋体" w:hAnsi="宋体" w:eastAsia="宋体" w:cs="宋体"/>
          <w:highlight w:val="none"/>
          <w:lang w:val="en-US" w:eastAsia="zh-CN"/>
        </w:rPr>
        <w:fldChar w:fldCharType="begin"/>
      </w:r>
      <w:r>
        <w:rPr>
          <w:rFonts w:hint="eastAsia" w:ascii="宋体" w:hAnsi="宋体" w:eastAsia="宋体" w:cs="宋体"/>
          <w:highlight w:val="none"/>
          <w:lang w:val="en-US" w:eastAsia="zh-CN"/>
        </w:rPr>
        <w:instrText xml:space="preserve"> HYPERLINK \l _Toc14921 </w:instrText>
      </w:r>
      <w:r>
        <w:rPr>
          <w:rFonts w:hint="eastAsia" w:ascii="宋体" w:hAnsi="宋体" w:eastAsia="宋体" w:cs="宋体"/>
          <w:highlight w:val="none"/>
          <w:lang w:val="en-US" w:eastAsia="zh-CN"/>
        </w:rPr>
        <w:fldChar w:fldCharType="separate"/>
      </w:r>
      <w:r>
        <w:rPr>
          <w:rFonts w:hint="eastAsia" w:ascii="宋体" w:hAnsi="宋体" w:eastAsia="宋体" w:cs="宋体"/>
          <w:highlight w:val="none"/>
          <w:lang w:val="en-US" w:eastAsia="zh-CN"/>
        </w:rPr>
        <w:t>开拓新型销售渠道、</w:t>
      </w:r>
      <w:r>
        <w:rPr>
          <w:rFonts w:hint="eastAsia" w:ascii="宋体" w:hAnsi="宋体" w:eastAsia="宋体" w:cs="宋体"/>
          <w:highlight w:val="none"/>
          <w:lang w:val="en-US" w:eastAsia="zh-CN"/>
        </w:rPr>
        <w:fldChar w:fldCharType="end"/>
      </w:r>
      <w:r>
        <w:rPr>
          <w:rFonts w:hint="eastAsia" w:ascii="宋体" w:hAnsi="宋体" w:eastAsia="宋体" w:cs="宋体"/>
          <w:highlight w:val="none"/>
          <w:lang w:val="en-US" w:eastAsia="zh-CN"/>
        </w:rPr>
        <w:fldChar w:fldCharType="begin"/>
      </w:r>
      <w:r>
        <w:rPr>
          <w:rFonts w:hint="eastAsia" w:ascii="宋体" w:hAnsi="宋体" w:eastAsia="宋体" w:cs="宋体"/>
          <w:highlight w:val="none"/>
          <w:lang w:val="en-US" w:eastAsia="zh-CN"/>
        </w:rPr>
        <w:instrText xml:space="preserve"> HYPERLINK \l _Toc121 </w:instrText>
      </w:r>
      <w:r>
        <w:rPr>
          <w:rFonts w:hint="eastAsia" w:ascii="宋体" w:hAnsi="宋体" w:eastAsia="宋体" w:cs="宋体"/>
          <w:highlight w:val="none"/>
          <w:lang w:val="en-US" w:eastAsia="zh-CN"/>
        </w:rPr>
        <w:fldChar w:fldCharType="separate"/>
      </w:r>
      <w:r>
        <w:rPr>
          <w:rFonts w:hint="eastAsia" w:ascii="宋体" w:hAnsi="宋体" w:eastAsia="宋体" w:cs="宋体"/>
          <w:highlight w:val="none"/>
          <w:lang w:val="en-US" w:eastAsia="zh-CN"/>
        </w:rPr>
        <w:t>设立商业信用管理部门</w:t>
      </w:r>
      <w:r>
        <w:rPr>
          <w:rFonts w:hint="eastAsia" w:ascii="宋体" w:hAnsi="宋体" w:eastAsia="宋体" w:cs="宋体"/>
          <w:highlight w:val="none"/>
          <w:lang w:val="en-US" w:eastAsia="zh-CN"/>
        </w:rPr>
        <w:fldChar w:fldCharType="end"/>
      </w:r>
      <w:r>
        <w:rPr>
          <w:rFonts w:hint="eastAsia" w:ascii="宋体" w:hAnsi="宋体" w:eastAsia="宋体" w:cs="宋体"/>
          <w:highlight w:val="none"/>
          <w:lang w:val="en-US" w:eastAsia="zh-CN"/>
        </w:rPr>
        <w:t>；上述分析，可帮助企业认识营运资金管理方面的不足，并从不同角度采取对应方法，提升管理绩效。</w:t>
      </w:r>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由于案例资料以及个人学术水平的限制，本文还有一些不够完善的地方。例如：因对营运资金管理理论文献了解不够深入，本文在基于各渠道的研究不够透彻；企业财务报表资料获取有限，使得相关分析不够详细完整；研究内容缺乏行业均值对比，无法从行业</w:t>
      </w:r>
      <w:r>
        <w:rPr>
          <w:rFonts w:hint="eastAsia" w:ascii="宋体" w:hAnsi="宋体" w:cs="宋体"/>
          <w:highlight w:val="none"/>
          <w:lang w:val="en-US" w:eastAsia="zh-CN"/>
        </w:rPr>
        <w:t>平均值</w:t>
      </w:r>
      <w:r>
        <w:rPr>
          <w:rFonts w:hint="eastAsia" w:ascii="宋体" w:hAnsi="宋体" w:eastAsia="宋体" w:cs="宋体"/>
          <w:highlight w:val="none"/>
          <w:lang w:val="en-US" w:eastAsia="zh-CN"/>
        </w:rPr>
        <w:t>角度进行判断。</w:t>
      </w:r>
    </w:p>
    <w:p>
      <w:pPr>
        <w:tabs>
          <w:tab w:val="left" w:pos="8568"/>
          <w:tab w:val="center" w:pos="8640"/>
        </w:tabs>
        <w:spacing w:before="326" w:beforeLines="100" w:after="326" w:afterLines="100" w:line="360" w:lineRule="auto"/>
        <w:ind w:firstLine="0" w:firstLineChars="0"/>
        <w:jc w:val="center"/>
        <w:outlineLvl w:val="9"/>
        <w:rPr>
          <w:rFonts w:ascii="黑体" w:hAnsi="黑体" w:eastAsia="黑体"/>
          <w:sz w:val="32"/>
          <w:szCs w:val="32"/>
        </w:rPr>
      </w:pPr>
    </w:p>
    <w:p>
      <w:pPr>
        <w:tabs>
          <w:tab w:val="left" w:pos="8568"/>
          <w:tab w:val="center" w:pos="8640"/>
        </w:tabs>
        <w:spacing w:before="326" w:beforeLines="100" w:after="326" w:afterLines="100" w:line="360" w:lineRule="auto"/>
        <w:ind w:firstLine="0" w:firstLineChars="0"/>
        <w:jc w:val="center"/>
        <w:outlineLvl w:val="9"/>
        <w:rPr>
          <w:rFonts w:ascii="黑体" w:hAnsi="黑体" w:eastAsia="黑体"/>
          <w:sz w:val="32"/>
          <w:szCs w:val="32"/>
        </w:rPr>
      </w:pPr>
    </w:p>
    <w:p>
      <w:pPr>
        <w:tabs>
          <w:tab w:val="left" w:pos="8568"/>
          <w:tab w:val="center" w:pos="8640"/>
        </w:tabs>
        <w:spacing w:before="326" w:beforeLines="100" w:after="326" w:afterLines="100" w:line="360" w:lineRule="auto"/>
        <w:ind w:firstLine="0" w:firstLineChars="0"/>
        <w:jc w:val="both"/>
        <w:outlineLvl w:val="9"/>
        <w:rPr>
          <w:rFonts w:ascii="黑体" w:hAnsi="黑体" w:eastAsia="黑体"/>
          <w:sz w:val="32"/>
          <w:szCs w:val="32"/>
        </w:rPr>
      </w:pPr>
    </w:p>
    <w:p>
      <w:pPr>
        <w:tabs>
          <w:tab w:val="left" w:pos="8568"/>
          <w:tab w:val="center" w:pos="8640"/>
        </w:tabs>
        <w:spacing w:before="326" w:beforeLines="100" w:after="326" w:afterLines="100" w:line="360" w:lineRule="auto"/>
        <w:ind w:firstLine="0" w:firstLineChars="0"/>
        <w:jc w:val="center"/>
        <w:outlineLvl w:val="9"/>
        <w:rPr>
          <w:rFonts w:ascii="黑体" w:hAnsi="黑体" w:eastAsia="黑体"/>
          <w:sz w:val="32"/>
          <w:szCs w:val="32"/>
        </w:rPr>
        <w:sectPr>
          <w:footerReference r:id="rId15" w:type="default"/>
          <w:pgSz w:w="11906" w:h="16838"/>
          <w:pgMar w:top="1701" w:right="1418" w:bottom="1701" w:left="1418" w:header="510" w:footer="737" w:gutter="0"/>
          <w:pgNumType w:fmt="decimal" w:start="1"/>
          <w:cols w:space="425" w:num="1"/>
          <w:docGrid w:type="lines" w:linePitch="326" w:charSpace="0"/>
        </w:sectPr>
      </w:pPr>
    </w:p>
    <w:p>
      <w:pPr>
        <w:spacing w:line="720" w:lineRule="auto"/>
        <w:ind w:firstLine="0" w:firstLineChars="0"/>
        <w:jc w:val="center"/>
        <w:outlineLvl w:val="0"/>
        <w:rPr>
          <w:rFonts w:ascii="黑体" w:hAnsi="黑体" w:eastAsia="黑体"/>
          <w:sz w:val="32"/>
          <w:szCs w:val="32"/>
        </w:rPr>
      </w:pPr>
      <w:commentRangeStart w:id="35"/>
      <w:bookmarkStart w:id="109" w:name="_Toc31607"/>
      <w:bookmarkStart w:id="110" w:name="_Toc31801"/>
      <w:bookmarkStart w:id="111" w:name="_Toc14429"/>
      <w:r>
        <w:rPr>
          <w:rFonts w:hint="eastAsia" w:ascii="黑体" w:hAnsi="黑体" w:eastAsia="黑体" w:cs="黑体"/>
          <w:sz w:val="32"/>
          <w:szCs w:val="32"/>
        </w:rPr>
        <w:t>参考文献</w:t>
      </w:r>
      <w:bookmarkEnd w:id="106"/>
      <w:bookmarkEnd w:id="107"/>
      <w:bookmarkEnd w:id="108"/>
      <w:bookmarkEnd w:id="109"/>
      <w:bookmarkEnd w:id="110"/>
      <w:bookmarkEnd w:id="111"/>
      <w:commentRangeEnd w:id="35"/>
      <w:r>
        <w:commentReference w:id="35"/>
      </w:r>
    </w:p>
    <w:p>
      <w:pPr>
        <w:keepNext w:val="0"/>
        <w:keepLines w:val="0"/>
        <w:pageBreakBefore w:val="0"/>
        <w:widowControl/>
        <w:kinsoku/>
        <w:wordWrap/>
        <w:overflowPunct/>
        <w:topLinePunct w:val="0"/>
        <w:autoSpaceDE/>
        <w:autoSpaceDN/>
        <w:bidi w:val="0"/>
        <w:adjustRightInd/>
        <w:snapToGrid/>
        <w:spacing w:line="360" w:lineRule="auto"/>
        <w:ind w:left="412" w:hanging="472" w:hangingChars="200"/>
        <w:jc w:val="both"/>
        <w:textAlignment w:val="auto"/>
        <w:rPr>
          <w:rFonts w:hint="default" w:ascii="Times New Roman" w:hAnsi="Times New Roman" w:eastAsia="宋体" w:cs="Times New Roman"/>
          <w:sz w:val="24"/>
          <w:szCs w:val="24"/>
        </w:rPr>
      </w:pPr>
      <w:commentRangeStart w:id="36"/>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val="en-US" w:eastAsia="zh-CN"/>
        </w:rPr>
        <w:t>巩丽</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基于渠道管理的营运资金管理评价指标优化研究</w:t>
      </w:r>
      <w:r>
        <w:rPr>
          <w:rFonts w:hint="default" w:ascii="Times New Roman" w:hAnsi="Times New Roman" w:eastAsia="宋体" w:cs="Times New Roman"/>
          <w:sz w:val="24"/>
          <w:szCs w:val="24"/>
        </w:rPr>
        <w:t>[D].</w:t>
      </w:r>
      <w:r>
        <w:rPr>
          <w:rFonts w:hint="default" w:ascii="Times New Roman" w:hAnsi="Times New Roman" w:eastAsia="宋体" w:cs="Times New Roman"/>
          <w:sz w:val="24"/>
          <w:szCs w:val="24"/>
          <w:lang w:val="en-US" w:eastAsia="zh-CN"/>
        </w:rPr>
        <w:t>青岛</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中国海洋大学,2018</w:t>
      </w:r>
      <w:r>
        <w:rPr>
          <w:rFonts w:hint="default" w:ascii="Times New Roman" w:hAnsi="Times New Roman" w:eastAsia="宋体" w:cs="Times New Roman"/>
          <w:sz w:val="24"/>
          <w:szCs w:val="24"/>
        </w:rPr>
        <w:t>.</w:t>
      </w:r>
      <w:commentRangeEnd w:id="36"/>
      <w:r>
        <w:rPr>
          <w:rFonts w:hint="default" w:ascii="Times New Roman" w:hAnsi="Times New Roman" w:eastAsia="宋体" w:cs="Times New Roman"/>
          <w:sz w:val="24"/>
          <w:szCs w:val="24"/>
        </w:rPr>
        <w:commentReference w:id="36"/>
      </w:r>
    </w:p>
    <w:p>
      <w:pPr>
        <w:keepNext w:val="0"/>
        <w:keepLines w:val="0"/>
        <w:pageBreakBefore w:val="0"/>
        <w:widowControl w:val="0"/>
        <w:tabs>
          <w:tab w:val="left" w:pos="8568"/>
          <w:tab w:val="right" w:pos="10472"/>
          <w:tab w:val="clear" w:pos="8640"/>
        </w:tabs>
        <w:kinsoku/>
        <w:wordWrap/>
        <w:overflowPunct/>
        <w:topLinePunct w:val="0"/>
        <w:autoSpaceDE/>
        <w:autoSpaceDN/>
        <w:bidi w:val="0"/>
        <w:adjustRightInd/>
        <w:snapToGrid/>
        <w:spacing w:line="360" w:lineRule="auto"/>
        <w:ind w:left="472" w:leftChars="0" w:hanging="472" w:hanging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[2]胡思玥</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房小兵.行为财务与建筑企业营运资金管理:影响机理分析[J].会计</w:t>
      </w:r>
      <w:r>
        <w:rPr>
          <w:rFonts w:hint="default" w:ascii="Times New Roman" w:hAnsi="Times New Roman" w:eastAsia="宋体" w:cs="Times New Roman"/>
          <w:sz w:val="24"/>
          <w:szCs w:val="24"/>
          <w:lang w:val="en-US" w:eastAsia="zh-CN"/>
        </w:rPr>
        <w:t>研</w:t>
      </w:r>
      <w:r>
        <w:rPr>
          <w:rFonts w:hint="default" w:ascii="Times New Roman" w:hAnsi="Times New Roman" w:eastAsia="宋体" w:cs="Times New Roman"/>
          <w:sz w:val="24"/>
          <w:szCs w:val="24"/>
        </w:rPr>
        <w:t>究</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01</w:t>
      </w:r>
      <w:r>
        <w:rPr>
          <w:rFonts w:hint="default"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rPr>
        <w:t>(03):39-41</w:t>
      </w:r>
      <w:r>
        <w:rPr>
          <w:rFonts w:hint="default" w:ascii="Times New Roman" w:hAnsi="Times New Roman" w:eastAsia="宋体" w:cs="Times New Roman"/>
          <w:sz w:val="24"/>
          <w:szCs w:val="24"/>
          <w:lang w:val="en-US" w:eastAsia="zh-CN"/>
        </w:rPr>
        <w:t>.</w:t>
      </w:r>
    </w:p>
    <w:p>
      <w:pPr>
        <w:keepNext w:val="0"/>
        <w:keepLines w:val="0"/>
        <w:pageBreakBefore w:val="0"/>
        <w:widowControl w:val="0"/>
        <w:tabs>
          <w:tab w:val="left" w:pos="8568"/>
          <w:tab w:val="right" w:pos="10472"/>
          <w:tab w:val="clear" w:pos="8640"/>
        </w:tabs>
        <w:kinsoku/>
        <w:wordWrap/>
        <w:overflowPunct/>
        <w:topLinePunct w:val="0"/>
        <w:autoSpaceDE/>
        <w:autoSpaceDN/>
        <w:bidi w:val="0"/>
        <w:adjustRightInd/>
        <w:snapToGrid/>
        <w:spacing w:line="360" w:lineRule="auto"/>
        <w:ind w:left="472" w:leftChars="0" w:hanging="472" w:hanging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[3]郑沛杰.基于利益相关者视角的永辉超市营运资金管理研究[D].西安:西安石油大学</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019.</w:t>
      </w:r>
    </w:p>
    <w:p>
      <w:pPr>
        <w:keepNext w:val="0"/>
        <w:keepLines w:val="0"/>
        <w:pageBreakBefore w:val="0"/>
        <w:widowControl w:val="0"/>
        <w:tabs>
          <w:tab w:val="left" w:pos="8568"/>
          <w:tab w:val="right" w:pos="10472"/>
          <w:tab w:val="clear" w:pos="8640"/>
        </w:tabs>
        <w:kinsoku/>
        <w:wordWrap/>
        <w:overflowPunct/>
        <w:topLinePunct w:val="0"/>
        <w:autoSpaceDE/>
        <w:autoSpaceDN/>
        <w:bidi w:val="0"/>
        <w:adjustRightInd/>
        <w:snapToGrid/>
        <w:spacing w:line="360" w:lineRule="auto"/>
        <w:ind w:left="472" w:leftChars="0" w:hanging="472" w:hanging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[4]李飞</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黄乐.绩效视角下的营运资金管理效率研究[J].山东社会科学</w:t>
      </w:r>
      <w:r>
        <w:rPr>
          <w:rFonts w:hint="default" w:ascii="Times New Roman" w:hAnsi="Times New Roman" w:eastAsia="宋体" w:cs="Times New Roman"/>
          <w:sz w:val="24"/>
          <w:szCs w:val="24"/>
          <w:lang w:val="en-US" w:eastAsia="zh-CN"/>
        </w:rPr>
        <w:t>,20</w:t>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rPr>
        <w:t>6):3-</w:t>
      </w:r>
      <w:r>
        <w:rPr>
          <w:rFonts w:hint="default"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commentReference w:id="37"/>
      </w:r>
    </w:p>
    <w:p>
      <w:pPr>
        <w:keepNext w:val="0"/>
        <w:keepLines w:val="0"/>
        <w:pageBreakBefore w:val="0"/>
        <w:widowControl w:val="0"/>
        <w:tabs>
          <w:tab w:val="left" w:pos="8568"/>
          <w:tab w:val="right" w:pos="10472"/>
          <w:tab w:val="clear" w:pos="8640"/>
        </w:tabs>
        <w:kinsoku/>
        <w:wordWrap/>
        <w:overflowPunct/>
        <w:topLinePunct w:val="0"/>
        <w:autoSpaceDE/>
        <w:autoSpaceDN/>
        <w:bidi w:val="0"/>
        <w:adjustRightInd/>
        <w:snapToGrid/>
        <w:spacing w:line="360" w:lineRule="auto"/>
        <w:ind w:left="472" w:leftChars="0" w:hanging="472" w:hanging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[5]李聪聪.国内外营运资金管理研究综述[J].财会通讯</w:t>
      </w:r>
      <w:r>
        <w:rPr>
          <w:rFonts w:hint="default" w:ascii="Times New Roman" w:hAnsi="Times New Roman" w:eastAsia="宋体" w:cs="Times New Roman"/>
          <w:sz w:val="24"/>
          <w:szCs w:val="24"/>
          <w:lang w:val="en-US" w:eastAsia="zh-CN"/>
        </w:rPr>
        <w:t>,20</w:t>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rPr>
        <w:t>(08):</w:t>
      </w: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val="en-US" w:eastAsia="zh-CN"/>
        </w:rPr>
        <w:t>.</w:t>
      </w:r>
    </w:p>
    <w:p>
      <w:pPr>
        <w:keepNext w:val="0"/>
        <w:keepLines w:val="0"/>
        <w:pageBreakBefore w:val="0"/>
        <w:widowControl w:val="0"/>
        <w:tabs>
          <w:tab w:val="left" w:pos="8568"/>
          <w:tab w:val="right" w:pos="10472"/>
          <w:tab w:val="clear" w:pos="8640"/>
        </w:tabs>
        <w:kinsoku/>
        <w:wordWrap/>
        <w:overflowPunct/>
        <w:topLinePunct w:val="0"/>
        <w:autoSpaceDE/>
        <w:autoSpaceDN/>
        <w:bidi w:val="0"/>
        <w:adjustRightInd/>
        <w:snapToGrid/>
        <w:spacing w:line="360" w:lineRule="auto"/>
        <w:ind w:left="472" w:leftChars="0" w:hanging="472" w:hanging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[6]孙钰莹.经营活动营运资金管理绩效分析</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以同仁堂为例[J].财会学习</w:t>
      </w:r>
      <w:r>
        <w:rPr>
          <w:rFonts w:hint="default" w:ascii="Times New Roman" w:hAnsi="Times New Roman" w:eastAsia="宋体" w:cs="Times New Roman"/>
          <w:sz w:val="24"/>
          <w:szCs w:val="24"/>
          <w:lang w:val="en-US" w:eastAsia="zh-CN"/>
        </w:rPr>
        <w:t>,20</w:t>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val="en-US" w:eastAsia="zh-CN"/>
        </w:rPr>
        <w:t>9</w:t>
      </w:r>
      <w:r>
        <w:rPr>
          <w:rFonts w:hint="default" w:ascii="Times New Roman" w:hAnsi="Times New Roman" w:eastAsia="宋体" w:cs="Times New Roman"/>
          <w:sz w:val="24"/>
          <w:szCs w:val="24"/>
        </w:rPr>
        <w:t>(5):3</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38.</w:t>
      </w:r>
    </w:p>
    <w:p>
      <w:pPr>
        <w:keepNext w:val="0"/>
        <w:keepLines w:val="0"/>
        <w:pageBreakBefore w:val="0"/>
        <w:widowControl w:val="0"/>
        <w:tabs>
          <w:tab w:val="left" w:pos="8568"/>
          <w:tab w:val="right" w:pos="10472"/>
          <w:tab w:val="clear" w:pos="8640"/>
        </w:tabs>
        <w:kinsoku/>
        <w:wordWrap/>
        <w:overflowPunct/>
        <w:topLinePunct w:val="0"/>
        <w:autoSpaceDE/>
        <w:autoSpaceDN/>
        <w:bidi w:val="0"/>
        <w:adjustRightInd/>
        <w:snapToGrid/>
        <w:spacing w:line="360" w:lineRule="auto"/>
        <w:ind w:left="472" w:leftChars="0" w:hanging="472" w:hanging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[7]舒思琪.兴源公司营运资金管理优化研究[D].湘潭:湘潭大学</w:t>
      </w:r>
      <w:r>
        <w:rPr>
          <w:rFonts w:hint="default" w:ascii="Times New Roman" w:hAnsi="Times New Roman" w:eastAsia="宋体" w:cs="Times New Roman"/>
          <w:sz w:val="24"/>
          <w:szCs w:val="24"/>
          <w:lang w:val="en-US" w:eastAsia="zh-CN"/>
        </w:rPr>
        <w:t>,2019</w:t>
      </w:r>
      <w:r>
        <w:rPr>
          <w:rFonts w:hint="default" w:ascii="Times New Roman" w:hAnsi="Times New Roman" w:eastAsia="宋体" w:cs="Times New Roman"/>
          <w:sz w:val="24"/>
          <w:szCs w:val="24"/>
        </w:rPr>
        <w:t>.</w:t>
      </w:r>
    </w:p>
    <w:p>
      <w:pPr>
        <w:keepNext w:val="0"/>
        <w:keepLines w:val="0"/>
        <w:pageBreakBefore w:val="0"/>
        <w:widowControl w:val="0"/>
        <w:tabs>
          <w:tab w:val="left" w:pos="8568"/>
          <w:tab w:val="right" w:pos="10472"/>
          <w:tab w:val="clear" w:pos="8640"/>
        </w:tabs>
        <w:kinsoku/>
        <w:wordWrap/>
        <w:overflowPunct/>
        <w:topLinePunct w:val="0"/>
        <w:autoSpaceDE/>
        <w:autoSpaceDN/>
        <w:bidi w:val="0"/>
        <w:adjustRightInd/>
        <w:snapToGrid/>
        <w:spacing w:line="360" w:lineRule="auto"/>
        <w:ind w:left="472" w:leftChars="0" w:hanging="472" w:hanging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[8]潘子羿.YH超市营运资金管理绩效研究[D].</w:t>
      </w:r>
      <w:r>
        <w:rPr>
          <w:rFonts w:hint="default" w:ascii="Times New Roman" w:hAnsi="Times New Roman" w:eastAsia="宋体" w:cs="Times New Roman"/>
          <w:sz w:val="24"/>
          <w:szCs w:val="24"/>
          <w:lang w:val="en-US" w:eastAsia="zh-CN"/>
        </w:rPr>
        <w:t>武汉</w:t>
      </w:r>
      <w:r>
        <w:rPr>
          <w:rFonts w:hint="default" w:ascii="Times New Roman" w:hAnsi="Times New Roman" w:eastAsia="宋体" w:cs="Times New Roman"/>
          <w:sz w:val="24"/>
          <w:szCs w:val="24"/>
        </w:rPr>
        <w:t>:华中科技大学</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01</w:t>
      </w:r>
      <w:r>
        <w:rPr>
          <w:rFonts w:hint="default" w:ascii="Times New Roman" w:hAnsi="Times New Roman" w:eastAsia="宋体" w:cs="Times New Roman"/>
          <w:sz w:val="24"/>
          <w:szCs w:val="24"/>
          <w:lang w:val="en-US" w:eastAsia="zh-CN"/>
        </w:rPr>
        <w:t>9</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rPr>
        <w:commentReference w:id="38"/>
      </w:r>
    </w:p>
    <w:p>
      <w:pPr>
        <w:keepNext w:val="0"/>
        <w:keepLines w:val="0"/>
        <w:pageBreakBefore w:val="0"/>
        <w:widowControl w:val="0"/>
        <w:tabs>
          <w:tab w:val="left" w:pos="8568"/>
          <w:tab w:val="right" w:pos="10472"/>
          <w:tab w:val="clear" w:pos="8640"/>
        </w:tabs>
        <w:kinsoku/>
        <w:wordWrap/>
        <w:overflowPunct/>
        <w:topLinePunct w:val="0"/>
        <w:autoSpaceDE/>
        <w:autoSpaceDN/>
        <w:bidi w:val="0"/>
        <w:adjustRightInd/>
        <w:snapToGrid/>
        <w:spacing w:line="360" w:lineRule="auto"/>
        <w:ind w:left="472" w:leftChars="0" w:hanging="472" w:hanging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9</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Akbar Ahsan,Akbar Minhas,Nazir Marina,Poulova Petra,Ray Samrat. Does Working Capital Management Influence Operating and Market Risk of Firms?[J]. Risks,2021,9(11).</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left="0" w:hanging="472" w:hangingChars="200"/>
        <w:jc w:val="both"/>
        <w:textAlignment w:val="auto"/>
        <w:rPr>
          <w:rFonts w:hint="default" w:ascii="Times New Roman" w:hAnsi="Times New Roman" w:eastAsia="宋体" w:cs="Times New Roman"/>
          <w:color w:val="000000" w:themeColor="text1"/>
          <w:sz w:val="24"/>
          <w:szCs w:val="24"/>
          <w:shd w:val="clear" w:color="auto" w:fill="auto"/>
          <w14:textFill>
            <w14:solidFill>
              <w14:schemeClr w14:val="tx1"/>
            </w14:solidFill>
          </w14:textFill>
        </w:rPr>
      </w:pPr>
      <w:r>
        <w:rPr>
          <w:rFonts w:hint="default" w:ascii="Times New Roman" w:hAnsi="Times New Roman" w:eastAsia="宋体" w:cs="Times New Roman"/>
          <w:color w:val="000000" w:themeColor="text1"/>
          <w:sz w:val="24"/>
          <w:szCs w:val="24"/>
          <w:shd w:val="clear" w:color="auto" w:fill="auto"/>
          <w14:textFill>
            <w14:solidFill>
              <w14:schemeClr w14:val="tx1"/>
            </w14:solidFill>
          </w14:textFill>
        </w:rPr>
        <w:t>[</w:t>
      </w:r>
      <w:r>
        <w:rPr>
          <w:rFonts w:hint="default" w:ascii="Times New Roman" w:hAnsi="Times New Roman" w:eastAsia="宋体" w:cs="Times New Roman"/>
          <w:color w:val="000000" w:themeColor="text1"/>
          <w:sz w:val="24"/>
          <w:szCs w:val="24"/>
          <w:shd w:val="clear" w:color="auto" w:fill="auto"/>
          <w:lang w:val="en-US" w:eastAsia="zh-CN"/>
          <w14:textFill>
            <w14:solidFill>
              <w14:schemeClr w14:val="tx1"/>
            </w14:solidFill>
          </w14:textFill>
        </w:rPr>
        <w:t>10</w:t>
      </w:r>
      <w:r>
        <w:rPr>
          <w:rFonts w:hint="default" w:ascii="Times New Roman" w:hAnsi="Times New Roman" w:eastAsia="宋体" w:cs="Times New Roman"/>
          <w:color w:val="000000" w:themeColor="text1"/>
          <w:sz w:val="24"/>
          <w:szCs w:val="24"/>
          <w:shd w:val="clear" w:color="auto" w:fill="auto"/>
          <w14:textFill>
            <w14:solidFill>
              <w14:schemeClr w14:val="tx1"/>
            </w14:solidFill>
          </w14:textFill>
        </w:rPr>
        <w:t>]</w:t>
      </w:r>
      <w:r>
        <w:rPr>
          <w:rFonts w:hint="default" w:ascii="Times New Roman" w:hAnsi="Times New Roman" w:eastAsia="宋体" w:cs="Times New Roman"/>
          <w:bCs/>
          <w:color w:val="000000" w:themeColor="text1"/>
          <w:sz w:val="24"/>
          <w:szCs w:val="24"/>
          <w:shd w:val="clear" w:color="auto" w:fill="auto"/>
          <w:lang w:val="en-US" w:eastAsia="zh-CN"/>
          <w14:textFill>
            <w14:solidFill>
              <w14:schemeClr w14:val="tx1"/>
            </w14:solidFill>
          </w14:textFill>
        </w:rPr>
        <w:t>余颖.制造业企业营运资金管理存在的问题及对策探讨[J].企业改革与管理,2020(18):179-180.</w:t>
      </w:r>
    </w:p>
    <w:p>
      <w:pPr>
        <w:keepNext w:val="0"/>
        <w:keepLines w:val="0"/>
        <w:pageBreakBefore w:val="0"/>
        <w:widowControl w:val="0"/>
        <w:numPr>
          <w:ilvl w:val="0"/>
          <w:numId w:val="0"/>
        </w:numPr>
        <w:tabs>
          <w:tab w:val="left" w:pos="8568"/>
          <w:tab w:val="right" w:pos="10472"/>
          <w:tab w:val="clear" w:pos="8640"/>
        </w:tabs>
        <w:kinsoku/>
        <w:wordWrap/>
        <w:overflowPunct/>
        <w:topLinePunct w:val="0"/>
        <w:autoSpaceDE/>
        <w:autoSpaceDN/>
        <w:bidi w:val="0"/>
        <w:adjustRightInd/>
        <w:snapToGrid/>
        <w:spacing w:line="360" w:lineRule="auto"/>
        <w:ind w:left="0" w:hanging="472" w:hangingChars="200"/>
        <w:jc w:val="both"/>
        <w:textAlignment w:val="auto"/>
        <w:rPr>
          <w:rFonts w:hint="default" w:ascii="Times New Roman" w:hAnsi="Times New Roman" w:eastAsia="宋体" w:cs="Times New Roman"/>
          <w:color w:val="000000" w:themeColor="text1"/>
          <w:sz w:val="24"/>
          <w:szCs w:val="24"/>
          <w:shd w:val="clear" w:color="auto" w:fill="auto"/>
          <w14:textFill>
            <w14:solidFill>
              <w14:schemeClr w14:val="tx1"/>
            </w14:solidFill>
          </w14:textFill>
        </w:rPr>
      </w:pPr>
      <w:r>
        <w:rPr>
          <w:rFonts w:hint="default" w:ascii="Times New Roman" w:hAnsi="Times New Roman" w:eastAsia="宋体" w:cs="Times New Roman"/>
          <w:color w:val="000000" w:themeColor="text1"/>
          <w:sz w:val="24"/>
          <w:szCs w:val="24"/>
          <w:shd w:val="clear" w:color="auto" w:fill="auto"/>
          <w14:textFill>
            <w14:solidFill>
              <w14:schemeClr w14:val="tx1"/>
            </w14:solidFill>
          </w14:textFill>
        </w:rPr>
        <w:t>[</w:t>
      </w:r>
      <w:r>
        <w:rPr>
          <w:rFonts w:hint="default" w:ascii="Times New Roman" w:hAnsi="Times New Roman" w:eastAsia="宋体" w:cs="Times New Roman"/>
          <w:color w:val="000000" w:themeColor="text1"/>
          <w:sz w:val="24"/>
          <w:szCs w:val="24"/>
          <w:shd w:val="clear" w:color="auto" w:fill="auto"/>
          <w:lang w:val="en-US"/>
          <w14:textFill>
            <w14:solidFill>
              <w14:schemeClr w14:val="tx1"/>
            </w14:solidFill>
          </w14:textFill>
        </w:rPr>
        <w:t>1</w:t>
      </w:r>
      <w:r>
        <w:rPr>
          <w:rFonts w:hint="default" w:ascii="Times New Roman" w:hAnsi="Times New Roman" w:eastAsia="宋体" w:cs="Times New Roman"/>
          <w:color w:val="000000" w:themeColor="text1"/>
          <w:sz w:val="24"/>
          <w:szCs w:val="24"/>
          <w:shd w:val="clear" w:color="auto" w:fill="auto"/>
          <w:lang w:val="en-US" w:eastAsia="zh-CN"/>
          <w14:textFill>
            <w14:solidFill>
              <w14:schemeClr w14:val="tx1"/>
            </w14:solidFill>
          </w14:textFill>
        </w:rPr>
        <w:t>1</w:t>
      </w:r>
      <w:r>
        <w:rPr>
          <w:rFonts w:hint="default" w:ascii="Times New Roman" w:hAnsi="Times New Roman" w:eastAsia="宋体" w:cs="Times New Roman"/>
          <w:color w:val="000000" w:themeColor="text1"/>
          <w:sz w:val="24"/>
          <w:szCs w:val="24"/>
          <w:shd w:val="clear" w:color="auto" w:fill="auto"/>
          <w14:textFill>
            <w14:solidFill>
              <w14:schemeClr w14:val="tx1"/>
            </w14:solidFill>
          </w14:textFill>
        </w:rPr>
        <w:t>]张敏.中小建筑企业营运资金管理问题探讨[J].商讯,2019(34):124</w:t>
      </w:r>
      <w:r>
        <w:rPr>
          <w:rFonts w:hint="default" w:ascii="Times New Roman" w:hAnsi="Times New Roman" w:eastAsia="宋体" w:cs="Times New Roman"/>
          <w:color w:val="000000" w:themeColor="text1"/>
          <w:sz w:val="24"/>
          <w:szCs w:val="24"/>
          <w:shd w:val="clear" w:color="auto" w:fill="auto"/>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shd w:val="clear" w:color="auto" w:fill="auto"/>
          <w14:textFill>
            <w14:solidFill>
              <w14:schemeClr w14:val="tx1"/>
            </w14:solidFill>
          </w14:textFill>
        </w:rPr>
        <w:t>126</w:t>
      </w:r>
      <w:r>
        <w:rPr>
          <w:rFonts w:hint="default" w:ascii="Times New Roman" w:hAnsi="Times New Roman" w:eastAsia="宋体" w:cs="Times New Roman"/>
          <w:color w:val="000000" w:themeColor="text1"/>
          <w:sz w:val="24"/>
          <w:szCs w:val="24"/>
          <w:shd w:val="clear" w:color="auto" w:fill="auto"/>
          <w:lang w:val="en-US" w:eastAsia="zh-CN"/>
          <w14:textFill>
            <w14:solidFill>
              <w14:schemeClr w14:val="tx1"/>
            </w14:solidFill>
          </w14:textFill>
        </w:rPr>
        <w:t>.</w:t>
      </w:r>
    </w:p>
    <w:p>
      <w:pPr>
        <w:keepNext w:val="0"/>
        <w:keepLines w:val="0"/>
        <w:pageBreakBefore w:val="0"/>
        <w:widowControl w:val="0"/>
        <w:tabs>
          <w:tab w:val="left" w:pos="8568"/>
          <w:tab w:val="right" w:pos="10472"/>
          <w:tab w:val="clear" w:pos="8640"/>
        </w:tabs>
        <w:kinsoku/>
        <w:wordWrap/>
        <w:overflowPunct/>
        <w:topLinePunct w:val="0"/>
        <w:autoSpaceDE/>
        <w:autoSpaceDN/>
        <w:bidi w:val="0"/>
        <w:adjustRightInd/>
        <w:snapToGrid/>
        <w:spacing w:line="360" w:lineRule="auto"/>
        <w:ind w:left="472" w:leftChars="0" w:hanging="472" w:hanging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12</w:t>
      </w:r>
      <w:r>
        <w:rPr>
          <w:rFonts w:hint="default" w:ascii="Times New Roman" w:hAnsi="Times New Roman" w:eastAsia="宋体" w:cs="Times New Roman"/>
          <w:sz w:val="24"/>
          <w:szCs w:val="24"/>
        </w:rPr>
        <w:t>]魏欣,刘正良</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商业信用利用对营运资金管理的影响[J].财会学习</w:t>
      </w:r>
      <w:r>
        <w:rPr>
          <w:rFonts w:hint="default" w:ascii="Times New Roman" w:hAnsi="Times New Roman" w:eastAsia="宋体" w:cs="Times New Roman"/>
          <w:sz w:val="24"/>
          <w:szCs w:val="24"/>
          <w:lang w:val="en-US" w:eastAsia="zh-CN"/>
        </w:rPr>
        <w:t>,20</w:t>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rPr>
        <w:t>(18):9-</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val="en-US" w:eastAsia="zh-CN"/>
        </w:rPr>
        <w:t>.</w:t>
      </w:r>
    </w:p>
    <w:p>
      <w:pPr>
        <w:keepNext w:val="0"/>
        <w:keepLines w:val="0"/>
        <w:pageBreakBefore w:val="0"/>
        <w:widowControl w:val="0"/>
        <w:tabs>
          <w:tab w:val="left" w:pos="8568"/>
          <w:tab w:val="right" w:pos="10472"/>
          <w:tab w:val="clear" w:pos="8640"/>
        </w:tabs>
        <w:kinsoku/>
        <w:wordWrap/>
        <w:overflowPunct/>
        <w:topLinePunct w:val="0"/>
        <w:autoSpaceDE/>
        <w:autoSpaceDN/>
        <w:bidi w:val="0"/>
        <w:adjustRightInd/>
        <w:snapToGrid/>
        <w:spacing w:line="360" w:lineRule="auto"/>
        <w:ind w:left="472" w:leftChars="0" w:hanging="472" w:hanging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[13]贺佳媛.美的集团基于销售渠道营运资金管理绩效分析[J].现代商业,2018(04)</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 xml:space="preserve">12. </w:t>
      </w:r>
    </w:p>
    <w:p>
      <w:pPr>
        <w:keepNext w:val="0"/>
        <w:keepLines w:val="0"/>
        <w:pageBreakBefore w:val="0"/>
        <w:widowControl w:val="0"/>
        <w:tabs>
          <w:tab w:val="left" w:pos="8568"/>
          <w:tab w:val="right" w:pos="10472"/>
          <w:tab w:val="clear" w:pos="8640"/>
        </w:tabs>
        <w:kinsoku/>
        <w:wordWrap/>
        <w:overflowPunct/>
        <w:topLinePunct w:val="0"/>
        <w:autoSpaceDE/>
        <w:autoSpaceDN/>
        <w:bidi w:val="0"/>
        <w:adjustRightInd/>
        <w:snapToGrid/>
        <w:spacing w:line="360" w:lineRule="auto"/>
        <w:ind w:left="472" w:leftChars="0" w:hanging="472" w:hanging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[14]张健.基于渠道管理的营运资金管理模式的研究[J].内蒙古统计,2018(01)</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11</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15.</w:t>
      </w:r>
    </w:p>
    <w:p>
      <w:pPr>
        <w:keepNext w:val="0"/>
        <w:keepLines w:val="0"/>
        <w:pageBreakBefore w:val="0"/>
        <w:widowControl w:val="0"/>
        <w:tabs>
          <w:tab w:val="left" w:pos="8568"/>
          <w:tab w:val="right" w:pos="10472"/>
          <w:tab w:val="clear" w:pos="8640"/>
        </w:tabs>
        <w:kinsoku/>
        <w:wordWrap/>
        <w:overflowPunct/>
        <w:topLinePunct w:val="0"/>
        <w:autoSpaceDE/>
        <w:autoSpaceDN/>
        <w:bidi w:val="0"/>
        <w:adjustRightInd/>
        <w:snapToGrid/>
        <w:spacing w:line="360" w:lineRule="auto"/>
        <w:ind w:left="472" w:leftChars="0" w:hanging="472" w:hanging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[15]邵宏伟,陈倩,吕瑞雪.苏宁云商营运资金管理分析报告[J].时代金</w:t>
      </w:r>
      <w:r>
        <w:rPr>
          <w:rFonts w:hint="default" w:ascii="Times New Roman" w:hAnsi="Times New Roman" w:eastAsia="宋体" w:cs="Times New Roman"/>
          <w:b w:val="0"/>
          <w:bCs w:val="0"/>
          <w:sz w:val="24"/>
          <w:szCs w:val="24"/>
          <w:lang w:val="en-US" w:eastAsia="zh-CN"/>
        </w:rPr>
        <w:t>融</w:t>
      </w:r>
      <w:r>
        <w:rPr>
          <w:rFonts w:hint="default" w:ascii="Times New Roman" w:hAnsi="Times New Roman" w:eastAsia="宋体" w:cs="Times New Roman"/>
          <w:sz w:val="24"/>
          <w:szCs w:val="24"/>
          <w:lang w:val="en-US" w:eastAsia="zh-CN"/>
        </w:rPr>
        <w:t>,2018(24)</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16</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22.</w:t>
      </w:r>
      <w:r>
        <w:rPr>
          <w:rFonts w:hint="default" w:ascii="Times New Roman" w:hAnsi="Times New Roman" w:eastAsia="宋体" w:cs="Times New Roman"/>
          <w:sz w:val="24"/>
          <w:szCs w:val="24"/>
        </w:rPr>
        <w:commentReference w:id="39"/>
      </w:r>
    </w:p>
    <w:p>
      <w:pPr>
        <w:spacing w:line="360" w:lineRule="auto"/>
        <w:ind w:firstLine="0" w:firstLineChars="0"/>
        <w:rPr>
          <w:rFonts w:ascii="宋体"/>
          <w:sz w:val="21"/>
          <w:szCs w:val="21"/>
        </w:rPr>
      </w:pPr>
    </w:p>
    <w:p>
      <w:pPr>
        <w:spacing w:line="360" w:lineRule="auto"/>
        <w:ind w:firstLine="0" w:firstLineChars="0"/>
        <w:rPr>
          <w:rFonts w:ascii="宋体"/>
          <w:sz w:val="21"/>
          <w:szCs w:val="21"/>
        </w:rPr>
      </w:pPr>
    </w:p>
    <w:p>
      <w:pPr>
        <w:spacing w:line="360" w:lineRule="auto"/>
        <w:ind w:firstLine="0" w:firstLineChars="0"/>
        <w:rPr>
          <w:rFonts w:ascii="宋体"/>
          <w:sz w:val="21"/>
          <w:szCs w:val="21"/>
        </w:rPr>
      </w:pPr>
    </w:p>
    <w:p>
      <w:pPr>
        <w:spacing w:line="360" w:lineRule="auto"/>
        <w:ind w:firstLine="0" w:firstLineChars="0"/>
        <w:rPr>
          <w:rFonts w:ascii="宋体"/>
          <w:sz w:val="21"/>
          <w:szCs w:val="21"/>
        </w:rPr>
      </w:pPr>
    </w:p>
    <w:p>
      <w:pPr>
        <w:spacing w:line="360" w:lineRule="auto"/>
        <w:ind w:firstLine="0" w:firstLineChars="0"/>
        <w:rPr>
          <w:rFonts w:ascii="宋体"/>
          <w:sz w:val="21"/>
          <w:szCs w:val="21"/>
        </w:rPr>
      </w:pPr>
    </w:p>
    <w:p>
      <w:pPr>
        <w:spacing w:line="360" w:lineRule="auto"/>
        <w:ind w:firstLine="0" w:firstLineChars="0"/>
        <w:rPr>
          <w:rFonts w:ascii="宋体"/>
          <w:sz w:val="21"/>
          <w:szCs w:val="21"/>
        </w:rPr>
      </w:pPr>
    </w:p>
    <w:p>
      <w:pPr>
        <w:spacing w:line="360" w:lineRule="auto"/>
        <w:ind w:firstLine="0" w:firstLineChars="0"/>
        <w:rPr>
          <w:rFonts w:ascii="宋体"/>
          <w:sz w:val="21"/>
          <w:szCs w:val="21"/>
        </w:rPr>
        <w:sectPr>
          <w:footerReference r:id="rId16" w:type="default"/>
          <w:pgSz w:w="11906" w:h="16838"/>
          <w:pgMar w:top="1701" w:right="1418" w:bottom="1701" w:left="1418" w:header="510" w:footer="737" w:gutter="0"/>
          <w:pgNumType w:fmt="decimal"/>
          <w:cols w:space="425" w:num="1"/>
          <w:docGrid w:type="lines" w:linePitch="326" w:charSpace="0"/>
        </w:sectPr>
      </w:pPr>
    </w:p>
    <w:p>
      <w:pPr>
        <w:spacing w:line="720" w:lineRule="auto"/>
        <w:ind w:firstLine="0" w:firstLineChars="0"/>
        <w:jc w:val="center"/>
        <w:outlineLvl w:val="0"/>
        <w:rPr>
          <w:rFonts w:ascii="黑体" w:hAnsi="黑体" w:eastAsia="黑体"/>
          <w:sz w:val="32"/>
          <w:szCs w:val="32"/>
        </w:rPr>
      </w:pPr>
      <w:commentRangeStart w:id="40"/>
      <w:bookmarkStart w:id="112" w:name="_Toc493958028"/>
      <w:bookmarkStart w:id="113" w:name="_Toc13115"/>
      <w:bookmarkStart w:id="114" w:name="_Toc19413"/>
      <w:bookmarkStart w:id="115" w:name="_Toc4682"/>
      <w:bookmarkStart w:id="116" w:name="_Toc482619874"/>
      <w:r>
        <w:rPr>
          <w:rFonts w:hint="eastAsia" w:ascii="黑体" w:hAnsi="黑体" w:eastAsia="黑体" w:cs="黑体"/>
          <w:sz w:val="32"/>
          <w:szCs w:val="32"/>
        </w:rPr>
        <w:t>致谢</w:t>
      </w:r>
      <w:bookmarkEnd w:id="112"/>
      <w:bookmarkEnd w:id="113"/>
      <w:bookmarkEnd w:id="114"/>
      <w:bookmarkEnd w:id="115"/>
      <w:bookmarkEnd w:id="116"/>
      <w:commentRangeEnd w:id="40"/>
      <w:r>
        <w:commentReference w:id="40"/>
      </w:r>
      <w:r>
        <w:commentReference w:id="41"/>
      </w:r>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default" w:ascii="宋体" w:hAnsi="宋体" w:cs="宋体"/>
          <w:lang w:val="en-US" w:eastAsia="zh-CN"/>
        </w:rPr>
      </w:pPr>
      <w:r>
        <w:rPr>
          <w:rFonts w:hint="eastAsia" w:ascii="宋体" w:hAnsi="宋体" w:cs="宋体"/>
          <w:lang w:val="en-US" w:eastAsia="zh-CN"/>
        </w:rPr>
        <w:t>时光匆匆，岁月荏苒。转眼间四年的本科生涯就要结束，我们也将迎着新的目标走向更高更远的地方。回顾四年的大学生活，</w:t>
      </w:r>
      <w:r>
        <w:rPr>
          <w:rFonts w:hint="eastAsia" w:ascii="宋体" w:hAnsi="宋体" w:cs="宋体"/>
        </w:rPr>
        <w:t>满怀感激与不舍，</w:t>
      </w:r>
      <w:r>
        <w:rPr>
          <w:rFonts w:hint="eastAsia" w:ascii="宋体" w:hAnsi="宋体" w:cs="宋体"/>
          <w:lang w:val="en-US" w:eastAsia="zh-CN"/>
        </w:rPr>
        <w:t>感概良多。</w:t>
      </w:r>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eastAsia" w:ascii="宋体" w:hAnsi="宋体" w:cs="宋体"/>
          <w:lang w:val="en-US" w:eastAsia="zh-CN"/>
        </w:rPr>
      </w:pPr>
      <w:r>
        <w:rPr>
          <w:rFonts w:hint="eastAsia" w:ascii="宋体" w:hAnsi="宋体" w:cs="宋体"/>
          <w:lang w:val="en-US" w:eastAsia="zh-CN"/>
        </w:rPr>
        <w:t>首先，我要感谢本科最后阶段遇到的一位认真负责的老师，我的论文指导老师，两个月的时间，我从从未接触过论文内容、格式的小白，到能够清晰的分析所写的专业知识论文，并且不断规范。我之所以能够顺利圆满完成论文，得益于老师专业的学识、认真负责的态度、平易近人的性格和不断的耐心指导，由衷感谢！</w:t>
      </w:r>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eastAsia" w:ascii="宋体" w:hAnsi="宋体" w:cs="宋体"/>
          <w:lang w:val="en-US" w:eastAsia="zh-CN"/>
        </w:rPr>
      </w:pPr>
      <w:r>
        <w:rPr>
          <w:rFonts w:hint="eastAsia" w:ascii="宋体" w:hAnsi="宋体" w:cs="宋体"/>
          <w:lang w:val="en-US" w:eastAsia="zh-CN"/>
        </w:rPr>
        <w:t>其次，感谢所有授予我知识的老师们，是你们的孜孜不倦、严谨的治学态度，让我在专业学识以及为人处事受益匪浅，希望你们万事胜意，桃李开遍天下，春晖遍布四方。</w:t>
      </w:r>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hint="eastAsia" w:ascii="宋体" w:hAnsi="宋体" w:cs="宋体"/>
          <w:lang w:val="en-US" w:eastAsia="zh-CN"/>
        </w:rPr>
      </w:pPr>
      <w:r>
        <w:rPr>
          <w:rFonts w:hint="eastAsia" w:ascii="宋体" w:hAnsi="宋体" w:cs="宋体"/>
          <w:lang w:val="en-US" w:eastAsia="zh-CN"/>
        </w:rPr>
        <w:t>最后，我要一并感谢我的家人和朋友们，你们给予我的支持与鼓励，是我前行的动力，使我坚强勇敢、无所畏惧，不断收获，成为更好的自己！</w:t>
      </w:r>
    </w:p>
    <w:p>
      <w:pPr>
        <w:keepNext w:val="0"/>
        <w:keepLines w:val="0"/>
        <w:pageBreakBefore w:val="0"/>
        <w:widowControl/>
        <w:kinsoku/>
        <w:wordWrap/>
        <w:overflowPunct/>
        <w:topLinePunct w:val="0"/>
        <w:autoSpaceDE/>
        <w:autoSpaceDN/>
        <w:bidi w:val="0"/>
        <w:adjustRightInd/>
        <w:snapToGrid/>
        <w:spacing w:line="360" w:lineRule="auto"/>
        <w:ind w:firstLine="472" w:firstLineChars="200"/>
        <w:textAlignment w:val="auto"/>
        <w:rPr>
          <w:rFonts w:ascii="宋体"/>
        </w:rPr>
      </w:pPr>
      <w:r>
        <w:rPr>
          <w:rFonts w:hint="eastAsia" w:ascii="宋体" w:hAnsi="宋体" w:cs="宋体"/>
          <w:lang w:val="en-US" w:eastAsia="zh-CN"/>
        </w:rPr>
        <w:t>虽然本科的学习生涯到此结束，但是未来需要求知的道路依旧很漫长，我会带着郑工商的校训“诚信”、“勤奋”，在未来的人生道路上，不断努力前行。</w:t>
      </w:r>
    </w:p>
    <w:sectPr>
      <w:footerReference r:id="rId17" w:type="default"/>
      <w:pgSz w:w="11906" w:h="16838"/>
      <w:pgMar w:top="1701" w:right="1418" w:bottom="1701" w:left="1418" w:header="510" w:footer="737" w:gutter="0"/>
      <w:pgNumType w:fmt="decimal"/>
      <w:cols w:space="425" w:num="1"/>
      <w:docGrid w:type="lines"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indy" w:date="2022-09-13T10:52:05Z" w:initials="">
    <w:p w14:paraId="7DA42BFE">
      <w:pPr>
        <w:pStyle w:val="8"/>
        <w:ind w:firstLine="784"/>
      </w:pPr>
      <w:r>
        <w:rPr>
          <w:rFonts w:hint="eastAsia"/>
        </w:rPr>
        <w:t>空1行</w:t>
      </w:r>
    </w:p>
  </w:comment>
  <w:comment w:id="1" w:author="cindy" w:date="2022-09-13T10:53:06Z" w:initials="">
    <w:p w14:paraId="43D62360">
      <w:pPr>
        <w:pStyle w:val="8"/>
        <w:ind w:firstLine="784"/>
      </w:pPr>
      <w:r>
        <w:rPr>
          <w:rFonts w:hint="eastAsia" w:cs="宋体"/>
        </w:rPr>
        <w:t>黑体，</w:t>
      </w:r>
      <w:r>
        <w:rPr>
          <w:rFonts w:hint="eastAsia" w:cs="宋体"/>
          <w:lang w:val="en-US" w:eastAsia="zh-CN"/>
        </w:rPr>
        <w:t>32号字</w:t>
      </w:r>
      <w:r>
        <w:rPr>
          <w:rFonts w:hint="eastAsia" w:cs="宋体"/>
        </w:rPr>
        <w:t>，居中，</w:t>
      </w:r>
      <w:r>
        <w:t>1.5</w:t>
      </w:r>
      <w:r>
        <w:rPr>
          <w:rFonts w:hint="eastAsia" w:cs="宋体"/>
        </w:rPr>
        <w:t>倍行间距。</w:t>
      </w:r>
    </w:p>
  </w:comment>
  <w:comment w:id="2" w:author="cindy" w:date="2022-09-13T15:18:29Z" w:initials="">
    <w:p w14:paraId="780F4866">
      <w:pPr>
        <w:pStyle w:val="8"/>
        <w:ind w:firstLine="784"/>
      </w:pPr>
      <w:r>
        <w:rPr>
          <w:rFonts w:hint="eastAsia"/>
        </w:rPr>
        <w:t>空1行</w:t>
      </w:r>
    </w:p>
  </w:comment>
  <w:comment w:id="3" w:author="cindy" w:date="2022-09-13T10:53:42Z" w:initials="">
    <w:p w14:paraId="5AC62378">
      <w:pPr>
        <w:pStyle w:val="8"/>
        <w:ind w:firstLine="784"/>
        <w:rPr>
          <w:rFonts w:hint="eastAsia" w:cs="宋体"/>
          <w:lang w:val="en-US" w:eastAsia="zh-CN"/>
        </w:rPr>
      </w:pPr>
      <w:r>
        <w:rPr>
          <w:rFonts w:hint="eastAsia" w:cs="宋体"/>
          <w:lang w:val="en-US" w:eastAsia="zh-CN"/>
        </w:rPr>
        <w:t>题目要用简明的词语，反映论文的特定内容及所研究的范围和深度。题目的标题字数要适当，一般不超过20个字。</w:t>
      </w:r>
    </w:p>
    <w:p w14:paraId="161C0E32">
      <w:pPr>
        <w:pStyle w:val="8"/>
        <w:ind w:firstLine="784"/>
      </w:pPr>
      <w:r>
        <w:rPr>
          <w:rFonts w:hint="eastAsia" w:cs="宋体"/>
        </w:rPr>
        <w:t>黑体，一号，居中，</w:t>
      </w:r>
      <w:r>
        <w:t>1.5</w:t>
      </w:r>
      <w:r>
        <w:rPr>
          <w:rFonts w:hint="eastAsia" w:cs="宋体"/>
        </w:rPr>
        <w:t>倍行间距</w:t>
      </w:r>
    </w:p>
  </w:comment>
  <w:comment w:id="4" w:author="cindy" w:date="2022-09-13T10:54:59Z" w:initials="">
    <w:p w14:paraId="5AD44D41">
      <w:pPr>
        <w:pStyle w:val="8"/>
      </w:pPr>
      <w:r>
        <w:rPr>
          <w:rFonts w:hint="eastAsia" w:ascii="宋体" w:hAnsi="宋体" w:cs="宋体"/>
          <w:color w:val="auto"/>
          <w:sz w:val="32"/>
          <w:highlight w:val="none"/>
          <w:lang w:val="en-US" w:eastAsia="zh-CN"/>
        </w:rPr>
        <w:t>全篇论文页边距</w:t>
      </w:r>
      <w:r>
        <w:rPr>
          <w:rFonts w:hint="eastAsia" w:ascii="宋体" w:hAnsi="宋体" w:eastAsia="宋体" w:cs="宋体"/>
          <w:color w:val="auto"/>
          <w:sz w:val="32"/>
          <w:highlight w:val="none"/>
        </w:rPr>
        <w:t>上3cm，下3cm，左2.5cm，右2.5cm</w:t>
      </w:r>
      <w:r>
        <w:rPr>
          <w:rFonts w:hint="eastAsia" w:ascii="宋体" w:hAnsi="宋体" w:cs="宋体"/>
          <w:color w:val="auto"/>
          <w:sz w:val="32"/>
          <w:highlight w:val="none"/>
          <w:lang w:eastAsia="zh-CN"/>
        </w:rPr>
        <w:t>。</w:t>
      </w:r>
    </w:p>
  </w:comment>
  <w:comment w:id="5" w:author="cindy" w:date="2022-09-13T10:55:34Z" w:initials="">
    <w:p w14:paraId="61F97A01">
      <w:pPr>
        <w:pStyle w:val="8"/>
        <w:ind w:firstLine="784"/>
      </w:pPr>
      <w:r>
        <w:rPr>
          <w:rFonts w:hint="eastAsia" w:cs="宋体"/>
        </w:rPr>
        <w:t>黑体，四号，居中</w:t>
      </w:r>
    </w:p>
  </w:comment>
  <w:comment w:id="6" w:author="cindy" w:date="2022-09-13T10:55:55Z" w:initials="">
    <w:p w14:paraId="60BD4204">
      <w:pPr>
        <w:pStyle w:val="8"/>
        <w:ind w:left="227" w:hanging="227" w:hangingChars="116"/>
      </w:pPr>
      <w:r>
        <w:rPr>
          <w:rFonts w:hint="eastAsia" w:cs="宋体"/>
        </w:rPr>
        <w:t>数字字体为</w:t>
      </w:r>
      <w:r>
        <w:t>Arial</w:t>
      </w:r>
      <w:r>
        <w:rPr>
          <w:rFonts w:hint="eastAsia" w:cs="宋体"/>
        </w:rPr>
        <w:t>，汉字字体为楷体</w:t>
      </w:r>
      <w:r>
        <w:t>_GB2312</w:t>
      </w:r>
      <w:r>
        <w:rPr>
          <w:rFonts w:hint="eastAsia" w:cs="宋体"/>
        </w:rPr>
        <w:t>，四号，</w:t>
      </w:r>
      <w:r>
        <w:t>1.2</w:t>
      </w:r>
      <w:r>
        <w:rPr>
          <w:rFonts w:hint="eastAsia" w:cs="宋体"/>
        </w:rPr>
        <w:t>倍行距</w:t>
      </w:r>
      <w:r>
        <w:rPr>
          <w:rFonts w:hint="eastAsia" w:cs="宋体"/>
          <w:lang w:eastAsia="zh-CN"/>
        </w:rPr>
        <w:t>。</w:t>
      </w:r>
    </w:p>
  </w:comment>
  <w:comment w:id="7" w:author="cindy" w:date="2022-09-13T10:56:11Z" w:initials="">
    <w:p w14:paraId="285C73F4">
      <w:pPr>
        <w:pStyle w:val="11"/>
        <w:numPr>
          <w:ilvl w:val="0"/>
          <w:numId w:val="0"/>
        </w:numPr>
        <w:spacing w:before="0" w:beforeLines="0" w:after="0" w:afterLines="0" w:line="360" w:lineRule="auto"/>
        <w:ind w:firstLine="392" w:firstLineChars="200"/>
        <w:jc w:val="left"/>
        <w:outlineLvl w:val="9"/>
      </w:pPr>
      <w:r>
        <w:rPr>
          <w:rFonts w:hint="eastAsia" w:ascii="Arial" w:hAnsi="Arial" w:eastAsia="宋体" w:cs="宋体"/>
          <w:color w:val="FF0000"/>
          <w:spacing w:val="-2"/>
          <w:sz w:val="20"/>
          <w:szCs w:val="20"/>
          <w:lang w:val="en-US" w:eastAsia="zh-CN" w:bidi="ar-SA"/>
        </w:rPr>
        <w:t>论文封面不进行编码；中英文摘要、目录，页码编码为：大写罗马数字</w:t>
      </w:r>
      <w:r>
        <w:rPr>
          <w:rFonts w:hint="eastAsia" w:ascii="Arial" w:hAnsi="Arial" w:eastAsia="宋体" w:cs="宋体"/>
          <w:spacing w:val="-2"/>
          <w:sz w:val="20"/>
          <w:szCs w:val="20"/>
          <w:lang w:val="en-US" w:eastAsia="zh-CN" w:bidi="ar-SA"/>
        </w:rPr>
        <w:t>Ⅰ、Ⅱ、Ⅲ、Ⅳ、Ⅴ、Ⅵ、Ⅶ、Ⅷ、Ⅸ、Ⅹ、Ⅺ、Ⅻ等连续编排；</w:t>
      </w:r>
    </w:p>
  </w:comment>
  <w:comment w:id="8" w:author="cindy" w:date="2022-09-13T10:56:41Z" w:initials="">
    <w:p w14:paraId="3A064C6E">
      <w:pPr>
        <w:pStyle w:val="8"/>
        <w:ind w:firstLine="784"/>
      </w:pPr>
      <w:r>
        <w:rPr>
          <w:rFonts w:hint="eastAsia" w:cs="宋体"/>
          <w:lang w:eastAsia="zh-CN"/>
        </w:rPr>
        <w:t>题目</w:t>
      </w:r>
      <w:r>
        <w:rPr>
          <w:rFonts w:hint="eastAsia" w:cs="宋体"/>
          <w:lang w:val="en-US" w:eastAsia="zh-CN"/>
        </w:rPr>
        <w:t xml:space="preserve"> ：</w:t>
      </w:r>
      <w:r>
        <w:rPr>
          <w:rFonts w:hint="eastAsia" w:cs="宋体"/>
        </w:rPr>
        <w:t>黑体，三号，居中，</w:t>
      </w:r>
      <w:r>
        <w:rPr>
          <w:rFonts w:hint="eastAsia"/>
          <w:lang w:val="en-US" w:eastAsia="zh-CN"/>
        </w:rPr>
        <w:t>3</w:t>
      </w:r>
      <w:r>
        <w:rPr>
          <w:rFonts w:hint="eastAsia" w:cs="宋体"/>
        </w:rPr>
        <w:t>倍行距</w:t>
      </w:r>
    </w:p>
  </w:comment>
  <w:comment w:id="9" w:author="cindy" w:date="2022-09-13T11:00:19Z" w:initials="">
    <w:p w14:paraId="17184AC7">
      <w:pPr>
        <w:pStyle w:val="8"/>
        <w:rPr>
          <w:rFonts w:hint="eastAsia" w:eastAsia="宋体"/>
          <w:lang w:eastAsia="zh-CN"/>
        </w:rPr>
      </w:pPr>
      <w:r>
        <w:rPr>
          <w:rFonts w:hint="eastAsia"/>
          <w:lang w:eastAsia="zh-CN"/>
        </w:rPr>
        <w:t>摘要在段落最前方，加冒号。</w:t>
      </w:r>
    </w:p>
    <w:p w14:paraId="183254D8">
      <w:pPr>
        <w:pStyle w:val="8"/>
      </w:pPr>
      <w:r>
        <w:rPr>
          <w:rFonts w:hint="eastAsia"/>
          <w:lang w:val="en-US" w:eastAsia="zh-CN"/>
        </w:rPr>
        <w:t>“摘要”两字采用小四号宋体字，加粗，首行缩进两个字符。</w:t>
      </w:r>
    </w:p>
  </w:comment>
  <w:comment w:id="10" w:author="cindy" w:date="2022-09-13T11:00:49Z" w:initials="">
    <w:p w14:paraId="29EE6A41">
      <w:pPr>
        <w:pStyle w:val="8"/>
        <w:ind w:firstLine="1264"/>
        <w:rPr>
          <w:rFonts w:hint="eastAsia" w:ascii="宋体" w:hAnsi="宋体" w:cs="宋体"/>
          <w:sz w:val="32"/>
          <w:szCs w:val="32"/>
          <w:lang w:eastAsia="zh-CN"/>
        </w:rPr>
      </w:pPr>
      <w:r>
        <w:rPr>
          <w:rFonts w:hint="eastAsia" w:ascii="宋体" w:hAnsi="宋体" w:cs="宋体"/>
          <w:sz w:val="32"/>
          <w:szCs w:val="32"/>
        </w:rPr>
        <w:t>摘要是论文内容的简要陈述，应能客观地反映论文的主要内容信息，内容包括研究目的、方法、成果和结论，不含图表，不加注释，具有独立性和完整性。中文摘要以</w:t>
      </w:r>
      <w:r>
        <w:rPr>
          <w:rFonts w:hint="eastAsia" w:ascii="宋体" w:hAnsi="宋体" w:cs="宋体"/>
          <w:sz w:val="32"/>
          <w:szCs w:val="32"/>
          <w:lang w:eastAsia="zh-CN"/>
        </w:rPr>
        <w:t>4</w:t>
      </w:r>
      <w:r>
        <w:rPr>
          <w:rFonts w:hint="eastAsia" w:ascii="宋体" w:hAnsi="宋体" w:cs="宋体"/>
          <w:sz w:val="32"/>
          <w:szCs w:val="32"/>
          <w:lang w:val="en-US" w:eastAsia="zh-CN"/>
        </w:rPr>
        <w:t>00</w:t>
      </w:r>
      <w:r>
        <w:rPr>
          <w:rFonts w:hint="eastAsia" w:ascii="宋体" w:hAnsi="宋体" w:cs="宋体"/>
          <w:sz w:val="32"/>
          <w:szCs w:val="32"/>
        </w:rPr>
        <w:t>字左右为宜</w:t>
      </w:r>
      <w:r>
        <w:rPr>
          <w:rFonts w:hint="eastAsia" w:ascii="宋体" w:hAnsi="宋体" w:cs="宋体"/>
          <w:sz w:val="32"/>
          <w:szCs w:val="32"/>
          <w:lang w:eastAsia="zh-CN"/>
        </w:rPr>
        <w:t>，</w:t>
      </w:r>
      <w:r>
        <w:rPr>
          <w:rFonts w:hint="eastAsia" w:ascii="宋体" w:hAnsi="宋体" w:cs="宋体"/>
          <w:sz w:val="32"/>
          <w:szCs w:val="32"/>
          <w:lang w:val="en-US" w:eastAsia="zh-CN"/>
        </w:rPr>
        <w:t>不分自然段</w:t>
      </w:r>
      <w:r>
        <w:rPr>
          <w:rFonts w:hint="eastAsia" w:ascii="宋体" w:hAnsi="宋体" w:cs="宋体"/>
          <w:sz w:val="32"/>
          <w:szCs w:val="32"/>
          <w:lang w:eastAsia="zh-CN"/>
        </w:rPr>
        <w:t>。</w:t>
      </w:r>
    </w:p>
    <w:p w14:paraId="04386ACC">
      <w:pPr>
        <w:pStyle w:val="8"/>
        <w:ind w:firstLine="1264"/>
        <w:rPr>
          <w:rFonts w:hint="eastAsia" w:ascii="宋体" w:hAnsi="宋体" w:cs="宋体"/>
          <w:sz w:val="32"/>
          <w:szCs w:val="32"/>
        </w:rPr>
      </w:pPr>
    </w:p>
    <w:p w14:paraId="59A550CF">
      <w:pPr>
        <w:pStyle w:val="8"/>
        <w:ind w:firstLine="1264"/>
      </w:pPr>
      <w:r>
        <w:rPr>
          <w:rFonts w:hint="eastAsia" w:ascii="宋体" w:hAnsi="宋体" w:cs="宋体"/>
          <w:sz w:val="32"/>
          <w:szCs w:val="32"/>
        </w:rPr>
        <w:t>摘要正文为宋体，小四号，</w:t>
      </w:r>
      <w:r>
        <w:t>1.5</w:t>
      </w:r>
      <w:r>
        <w:rPr>
          <w:rFonts w:hint="eastAsia" w:cs="宋体"/>
        </w:rPr>
        <w:t>倍行距</w:t>
      </w:r>
      <w:r>
        <w:rPr>
          <w:rFonts w:hint="eastAsia" w:cs="宋体"/>
          <w:lang w:eastAsia="zh-CN"/>
        </w:rPr>
        <w:t>。</w:t>
      </w:r>
    </w:p>
  </w:comment>
  <w:comment w:id="11" w:author="cindy" w:date="2022-09-13T11:01:00Z" w:initials="">
    <w:p w14:paraId="263407C4">
      <w:pPr>
        <w:pStyle w:val="8"/>
        <w:ind w:firstLine="784"/>
        <w:rPr>
          <w:rFonts w:hint="eastAsia" w:ascii="宋体" w:hAnsi="宋体" w:cs="宋体"/>
        </w:rPr>
      </w:pPr>
      <w:r>
        <w:rPr>
          <w:rFonts w:hint="eastAsia" w:cs="宋体"/>
        </w:rPr>
        <w:t>内容注意：</w:t>
      </w:r>
      <w:r>
        <w:rPr>
          <w:rFonts w:hint="eastAsia" w:ascii="宋体" w:hAnsi="宋体" w:cs="宋体"/>
        </w:rPr>
        <w:t>关键词是反映论文主题概念的词或词组，一般可选</w:t>
      </w:r>
      <w:r>
        <w:rPr>
          <w:rFonts w:ascii="宋体" w:hAnsi="宋体" w:cs="宋体"/>
        </w:rPr>
        <w:t>3</w:t>
      </w:r>
      <w:r>
        <w:rPr>
          <w:rFonts w:hint="eastAsia" w:ascii="宋体" w:hAnsi="宋体" w:cs="宋体"/>
        </w:rPr>
        <w:t>～</w:t>
      </w:r>
      <w:r>
        <w:rPr>
          <w:rFonts w:ascii="宋体" w:hAnsi="宋体" w:cs="宋体"/>
        </w:rPr>
        <w:t>5</w:t>
      </w:r>
      <w:r>
        <w:rPr>
          <w:rFonts w:hint="eastAsia" w:ascii="宋体" w:hAnsi="宋体" w:cs="宋体"/>
        </w:rPr>
        <w:t>个，应尽量从《汉语主题词表》中选用。未被收录的新学科、新技术中的重要术语、地区、人物、文献等名称，也可作为关键词。按词条的外延层次从大到小排列。</w:t>
      </w:r>
    </w:p>
    <w:p w14:paraId="415C086C">
      <w:pPr>
        <w:pStyle w:val="8"/>
        <w:ind w:firstLine="784"/>
        <w:rPr>
          <w:rFonts w:hint="eastAsia" w:ascii="宋体" w:hAnsi="宋体" w:cs="宋体"/>
          <w:color w:val="FF0000"/>
        </w:rPr>
      </w:pPr>
    </w:p>
    <w:p w14:paraId="355D6F34">
      <w:pPr>
        <w:pStyle w:val="8"/>
        <w:ind w:firstLine="784"/>
        <w:rPr>
          <w:rFonts w:hint="eastAsia" w:ascii="宋体" w:hAnsi="宋体" w:cs="宋体"/>
        </w:rPr>
      </w:pPr>
      <w:r>
        <w:rPr>
          <w:rFonts w:hint="eastAsia" w:ascii="宋体" w:hAnsi="宋体" w:cs="宋体"/>
          <w:color w:val="FF0000"/>
        </w:rPr>
        <w:t>关键词之间中文以分号分开，英文以逗号分开，最后一个关键词后不要标点符号。</w:t>
      </w:r>
    </w:p>
    <w:p w14:paraId="2E2026C3">
      <w:pPr>
        <w:pStyle w:val="8"/>
        <w:ind w:firstLine="784"/>
        <w:rPr>
          <w:rFonts w:hint="eastAsia" w:ascii="宋体" w:hAnsi="宋体" w:cs="宋体"/>
        </w:rPr>
      </w:pPr>
    </w:p>
    <w:p w14:paraId="24374FCB">
      <w:pPr>
        <w:pStyle w:val="8"/>
        <w:ind w:firstLine="784"/>
        <w:rPr>
          <w:rFonts w:hint="eastAsia" w:ascii="宋体" w:hAnsi="宋体" w:cs="宋体"/>
        </w:rPr>
      </w:pPr>
      <w:r>
        <w:rPr>
          <w:rFonts w:hint="eastAsia" w:cs="宋体"/>
          <w:lang w:eastAsia="zh-CN"/>
        </w:rPr>
        <w:t>“</w:t>
      </w:r>
      <w:r>
        <w:rPr>
          <w:rFonts w:hint="eastAsia" w:cs="宋体"/>
        </w:rPr>
        <w:t>关键词</w:t>
      </w:r>
      <w:r>
        <w:rPr>
          <w:rFonts w:hint="eastAsia" w:cs="宋体"/>
          <w:lang w:eastAsia="zh-CN"/>
        </w:rPr>
        <w:t>”</w:t>
      </w:r>
      <w:r>
        <w:rPr>
          <w:rFonts w:hint="eastAsia" w:cs="宋体"/>
        </w:rPr>
        <w:t>为宋体、小四号，加粗，</w:t>
      </w:r>
      <w:r>
        <w:rPr>
          <w:rFonts w:hint="eastAsia"/>
          <w:lang w:val="en-US" w:eastAsia="zh-CN"/>
        </w:rPr>
        <w:t>首行缩进两个字符。</w:t>
      </w:r>
      <w:r>
        <w:rPr>
          <w:rFonts w:hint="eastAsia" w:cs="宋体"/>
        </w:rPr>
        <w:t>内容为宋体，小四号，</w:t>
      </w:r>
      <w:r>
        <w:t>1.5</w:t>
      </w:r>
      <w:r>
        <w:rPr>
          <w:rFonts w:hint="eastAsia" w:cs="宋体"/>
        </w:rPr>
        <w:t>倍行距</w:t>
      </w:r>
      <w:r>
        <w:rPr>
          <w:rFonts w:hint="eastAsia" w:cs="宋体"/>
          <w:lang w:eastAsia="zh-CN"/>
        </w:rPr>
        <w:t>。</w:t>
      </w:r>
    </w:p>
  </w:comment>
  <w:comment w:id="12" w:author="cindy" w:date="2022-09-13T11:01:40Z" w:initials="">
    <w:p w14:paraId="4CBA1898">
      <w:pPr>
        <w:pStyle w:val="8"/>
        <w:ind w:firstLine="1104"/>
        <w:rPr>
          <w:rFonts w:hint="eastAsia" w:eastAsia="宋体"/>
          <w:lang w:eastAsia="zh-CN"/>
        </w:rPr>
      </w:pPr>
      <w:r>
        <w:rPr>
          <w:rFonts w:hint="eastAsia" w:cs="宋体"/>
          <w:lang w:val="en-US" w:eastAsia="zh-CN"/>
        </w:rPr>
        <w:t>英文</w:t>
      </w:r>
      <w:r>
        <w:rPr>
          <w:rFonts w:hint="eastAsia" w:cs="宋体"/>
          <w:lang w:eastAsia="zh-CN"/>
        </w:rPr>
        <w:t>论文题目</w:t>
      </w:r>
      <w:r>
        <w:rPr>
          <w:rFonts w:hint="eastAsia" w:cs="宋体"/>
          <w:lang w:val="en-US" w:eastAsia="zh-CN"/>
        </w:rPr>
        <w:t>：</w:t>
      </w:r>
      <w:r>
        <w:rPr>
          <w:rFonts w:ascii="Times New Roman" w:hAnsi="Times New Roman" w:cs="Times New Roman"/>
          <w:sz w:val="28"/>
          <w:szCs w:val="28"/>
        </w:rPr>
        <w:t>Times New Roman</w:t>
      </w:r>
      <w:r>
        <w:rPr>
          <w:rFonts w:hint="eastAsia" w:cs="宋体"/>
        </w:rPr>
        <w:t>，三号，居中，</w:t>
      </w:r>
      <w:r>
        <w:rPr>
          <w:rFonts w:hint="eastAsia"/>
          <w:lang w:val="en-US" w:eastAsia="zh-CN"/>
        </w:rPr>
        <w:t>3</w:t>
      </w:r>
      <w:r>
        <w:rPr>
          <w:rFonts w:hint="eastAsia" w:cs="宋体"/>
        </w:rPr>
        <w:t>倍行距</w:t>
      </w:r>
      <w:r>
        <w:rPr>
          <w:rFonts w:hint="eastAsia" w:cs="宋体"/>
          <w:lang w:eastAsia="zh-CN"/>
        </w:rPr>
        <w:t>。</w:t>
      </w:r>
    </w:p>
    <w:p w14:paraId="5D0A09F6">
      <w:pPr>
        <w:pStyle w:val="8"/>
        <w:rPr>
          <w:rFonts w:hint="default" w:eastAsia="宋体"/>
          <w:lang w:val="en-US" w:eastAsia="zh-CN"/>
        </w:rPr>
      </w:pPr>
      <w:r>
        <w:rPr>
          <w:rFonts w:hint="eastAsia"/>
          <w:lang w:val="en-US" w:eastAsia="zh-CN"/>
        </w:rPr>
        <w:t>非介词英文首字母大写。</w:t>
      </w:r>
    </w:p>
  </w:comment>
  <w:comment w:id="13" w:author="cindy" w:date="2022-09-13T11:06:29Z" w:initials="">
    <w:p w14:paraId="69CA3C64">
      <w:pPr>
        <w:pStyle w:val="8"/>
        <w:ind w:firstLine="1104"/>
      </w:pPr>
      <w:r>
        <w:rPr>
          <w:rFonts w:ascii="Times New Roman" w:hAnsi="Times New Roman" w:cs="Times New Roman"/>
          <w:sz w:val="28"/>
          <w:szCs w:val="28"/>
        </w:rPr>
        <w:t>Times New Roman</w:t>
      </w:r>
      <w:r>
        <w:rPr>
          <w:rFonts w:hint="eastAsia" w:ascii="宋体" w:hAnsi="宋体" w:cs="宋体"/>
        </w:rPr>
        <w:t>，小四号</w:t>
      </w:r>
      <w:r>
        <w:rPr>
          <w:rFonts w:hint="eastAsia" w:ascii="宋体" w:hAnsi="宋体" w:cs="宋体"/>
          <w:lang w:eastAsia="zh-CN"/>
        </w:rPr>
        <w:t>，加粗，</w:t>
      </w:r>
      <w:r>
        <w:rPr>
          <w:rFonts w:ascii="宋体" w:hAnsi="宋体" w:cs="宋体"/>
        </w:rPr>
        <w:t>1.5</w:t>
      </w:r>
      <w:r>
        <w:rPr>
          <w:rFonts w:hint="eastAsia" w:ascii="宋体" w:hAnsi="宋体" w:cs="宋体"/>
        </w:rPr>
        <w:t>行距，首行缩进</w:t>
      </w:r>
      <w:r>
        <w:rPr>
          <w:rFonts w:ascii="宋体" w:hAnsi="宋体" w:cs="宋体"/>
        </w:rPr>
        <w:t>2</w:t>
      </w:r>
      <w:r>
        <w:rPr>
          <w:rFonts w:hint="eastAsia" w:ascii="宋体" w:hAnsi="宋体" w:cs="宋体"/>
        </w:rPr>
        <w:t>个字符</w:t>
      </w:r>
    </w:p>
  </w:comment>
  <w:comment w:id="14" w:author="cindy" w:date="2022-09-13T11:06:58Z" w:initials="">
    <w:p w14:paraId="22923FA7">
      <w:pPr>
        <w:pStyle w:val="8"/>
      </w:pPr>
      <w:r>
        <w:rPr>
          <w:rFonts w:ascii="Times New Roman" w:hAnsi="Times New Roman" w:cs="Times New Roman"/>
          <w:sz w:val="28"/>
          <w:szCs w:val="28"/>
        </w:rPr>
        <w:t>Times New Roman</w:t>
      </w:r>
      <w:r>
        <w:rPr>
          <w:rFonts w:hint="eastAsia" w:ascii="宋体" w:hAnsi="宋体" w:cs="宋体"/>
        </w:rPr>
        <w:t>，小四号，</w:t>
      </w:r>
      <w:r>
        <w:rPr>
          <w:rFonts w:ascii="宋体" w:hAnsi="宋体" w:cs="宋体"/>
        </w:rPr>
        <w:t>1.5</w:t>
      </w:r>
      <w:r>
        <w:rPr>
          <w:rFonts w:hint="eastAsia" w:ascii="宋体" w:hAnsi="宋体" w:cs="宋体"/>
        </w:rPr>
        <w:t>行距</w:t>
      </w:r>
    </w:p>
  </w:comment>
  <w:comment w:id="15" w:author="cindy" w:date="2022-09-13T11:07:14Z" w:initials="">
    <w:p w14:paraId="781A103F">
      <w:pPr>
        <w:pStyle w:val="8"/>
        <w:ind w:firstLine="784"/>
        <w:rPr>
          <w:rFonts w:hint="eastAsia"/>
        </w:rPr>
      </w:pPr>
      <w:r>
        <w:rPr>
          <w:rFonts w:hint="eastAsia"/>
          <w:color w:val="FF0000"/>
        </w:rPr>
        <w:t>每一个关键词首字母要大写</w:t>
      </w:r>
    </w:p>
    <w:p w14:paraId="68F81154">
      <w:pPr>
        <w:pStyle w:val="8"/>
        <w:ind w:firstLine="784"/>
      </w:pPr>
      <w:r>
        <w:rPr>
          <w:rFonts w:hint="eastAsia" w:ascii="宋体" w:hAnsi="宋体" w:cs="宋体"/>
        </w:rPr>
        <w:t>关键词之间，英文以逗号分开，最后一个关键词后不要标点符号</w:t>
      </w:r>
    </w:p>
  </w:comment>
  <w:comment w:id="16" w:author="cindy" w:date="2022-09-13T11:07:26Z" w:initials="">
    <w:p w14:paraId="512C7703">
      <w:pPr>
        <w:pStyle w:val="8"/>
        <w:ind w:firstLine="784"/>
      </w:pPr>
      <w:r>
        <w:rPr>
          <w:rFonts w:hint="eastAsia"/>
          <w:lang w:eastAsia="zh-CN"/>
        </w:rPr>
        <w:t>“</w:t>
      </w:r>
      <w:r>
        <w:rPr>
          <w:rFonts w:hint="eastAsia"/>
          <w:lang w:val="en-US" w:eastAsia="zh-CN"/>
        </w:rPr>
        <w:t>目录</w:t>
      </w:r>
      <w:r>
        <w:rPr>
          <w:rFonts w:hint="eastAsia"/>
          <w:lang w:eastAsia="zh-CN"/>
        </w:rPr>
        <w:t>”</w:t>
      </w:r>
      <w:r>
        <w:rPr>
          <w:rFonts w:hint="eastAsia"/>
          <w:lang w:val="en-US" w:eastAsia="zh-CN"/>
        </w:rPr>
        <w:t>两字格式为：黑体，</w:t>
      </w:r>
      <w:r>
        <w:rPr>
          <w:rFonts w:hint="eastAsia"/>
          <w:lang w:eastAsia="zh-CN"/>
        </w:rPr>
        <w:t>三号</w:t>
      </w:r>
      <w:r>
        <w:rPr>
          <w:rFonts w:hint="eastAsia"/>
        </w:rPr>
        <w:t>，</w:t>
      </w:r>
      <w:r>
        <w:rPr>
          <w:rFonts w:hint="eastAsia" w:ascii="宋体" w:hAnsi="宋体" w:eastAsia="宋体" w:cs="宋体"/>
          <w:lang w:eastAsia="zh-CN"/>
        </w:rPr>
        <w:t>上下文间均为</w:t>
      </w:r>
      <w:r>
        <w:rPr>
          <w:rFonts w:hint="eastAsia" w:ascii="宋体" w:hAnsi="宋体" w:eastAsia="宋体" w:cs="宋体"/>
          <w:lang w:val="en-US" w:eastAsia="zh-CN"/>
        </w:rPr>
        <w:t>1.5倍行距。</w:t>
      </w:r>
    </w:p>
  </w:comment>
  <w:comment w:id="17" w:author="cindy" w:date="2022-09-13T11:08:46Z" w:initials="">
    <w:p w14:paraId="3B012C42">
      <w:pPr>
        <w:pStyle w:val="8"/>
        <w:ind w:firstLine="784"/>
        <w:rPr>
          <w:rFonts w:hint="eastAsia" w:ascii="Times New Roman" w:hAnsi="Times New Roman" w:cs="Times New Roman"/>
          <w:color w:val="FF0000"/>
          <w:lang w:val="en-US" w:eastAsia="zh-CN"/>
        </w:rPr>
      </w:pPr>
      <w:r>
        <w:rPr>
          <w:rFonts w:hint="default" w:ascii="Times New Roman" w:hAnsi="Times New Roman" w:cs="Times New Roman"/>
          <w:lang w:val="en-US" w:eastAsia="zh-CN"/>
        </w:rPr>
        <w:t>目录一般按三级标题编写，</w:t>
      </w:r>
      <w:r>
        <w:rPr>
          <w:rFonts w:hint="default" w:ascii="Times New Roman" w:hAnsi="Times New Roman" w:cs="Times New Roman"/>
          <w:color w:val="FF0000"/>
          <w:lang w:val="en-US" w:eastAsia="zh-CN"/>
        </w:rPr>
        <w:t>如“一、……、（一）……、1.……”；</w:t>
      </w:r>
      <w:r>
        <w:rPr>
          <w:rFonts w:hint="default" w:ascii="Times New Roman" w:hAnsi="Times New Roman" w:cs="Times New Roman"/>
          <w:lang w:val="en-US" w:eastAsia="zh-CN"/>
        </w:rPr>
        <w:t>目录中的标题应与正文中的标题一致，</w:t>
      </w:r>
      <w:r>
        <w:rPr>
          <w:rFonts w:hint="default" w:ascii="Times New Roman" w:hAnsi="Times New Roman" w:cs="Times New Roman"/>
          <w:color w:val="FF0000"/>
          <w:lang w:val="en-US" w:eastAsia="zh-CN"/>
        </w:rPr>
        <w:t>要求标题层次清晰，呈阶梯分布，一级标题不缩进，二级标题首行缩进1个字符，三级标题首行缩进2个字符</w:t>
      </w:r>
      <w:r>
        <w:rPr>
          <w:rFonts w:hint="eastAsia" w:ascii="Times New Roman" w:hAnsi="Times New Roman" w:cs="Times New Roman"/>
          <w:color w:val="FF0000"/>
          <w:lang w:val="en-US" w:eastAsia="zh-CN"/>
        </w:rPr>
        <w:t>。</w:t>
      </w:r>
    </w:p>
    <w:p w14:paraId="641558AF">
      <w:pPr>
        <w:pStyle w:val="8"/>
        <w:ind w:firstLine="784"/>
      </w:pPr>
      <w:r>
        <w:rPr>
          <w:rFonts w:hint="default" w:ascii="Times New Roman" w:hAnsi="Times New Roman" w:cs="Times New Roman"/>
          <w:lang w:val="en-US" w:eastAsia="zh-CN"/>
        </w:rPr>
        <w:t>目录部分内容采用小四号宋体，英文内容采用小四号“Times New Roman”字体，上下文间均为1.5倍行距。</w:t>
      </w:r>
    </w:p>
  </w:comment>
  <w:comment w:id="18" w:author="cindy" w:date="2022-09-13T11:08:22Z" w:initials="">
    <w:p w14:paraId="7F860E03">
      <w:pPr>
        <w:pStyle w:val="8"/>
        <w:ind w:firstLine="784"/>
      </w:pPr>
      <w:r>
        <w:rPr>
          <w:rFonts w:hint="eastAsia" w:cs="宋体"/>
        </w:rPr>
        <w:t>正文中的各个标题分级成功后，可直接生成目录。方法：点插入</w:t>
      </w:r>
      <w:r>
        <w:t>---</w:t>
      </w:r>
      <w:r>
        <w:rPr>
          <w:rFonts w:hint="eastAsia" w:cs="宋体"/>
        </w:rPr>
        <w:t>引用</w:t>
      </w:r>
      <w:r>
        <w:t>----</w:t>
      </w:r>
      <w:r>
        <w:rPr>
          <w:rFonts w:hint="eastAsia" w:cs="宋体"/>
        </w:rPr>
        <w:t>选择索引与目录，进</w:t>
      </w:r>
    </w:p>
    <w:p w14:paraId="468E2209">
      <w:pPr>
        <w:pStyle w:val="8"/>
        <w:ind w:firstLine="784"/>
        <w:rPr>
          <w:rFonts w:cs="宋体"/>
        </w:rPr>
      </w:pPr>
      <w:r>
        <w:rPr>
          <w:rFonts w:hint="eastAsia" w:cs="宋体"/>
        </w:rPr>
        <w:t>行具体的操作。</w:t>
      </w:r>
    </w:p>
    <w:p w14:paraId="3324213E">
      <w:pPr>
        <w:pStyle w:val="8"/>
        <w:ind w:firstLine="784"/>
        <w:rPr>
          <w:rFonts w:hint="eastAsia" w:ascii="宋体" w:hAnsi="宋体" w:eastAsia="宋体" w:cs="宋体"/>
        </w:rPr>
      </w:pPr>
      <w:r>
        <w:rPr>
          <w:rFonts w:hint="eastAsia" w:cs="宋体"/>
        </w:rPr>
        <w:t>四级标题不体现在目录中，正文部分四级标题用（1）（2）……</w:t>
      </w:r>
    </w:p>
    <w:p w14:paraId="5C496788">
      <w:pPr>
        <w:pStyle w:val="8"/>
        <w:ind w:firstLine="784"/>
        <w:rPr>
          <w:rFonts w:hint="eastAsia"/>
        </w:rPr>
      </w:pPr>
    </w:p>
    <w:p w14:paraId="6A3417AE">
      <w:pPr>
        <w:pStyle w:val="8"/>
        <w:ind w:firstLine="784"/>
      </w:pPr>
      <w:r>
        <w:rPr>
          <w:rFonts w:hint="eastAsia"/>
        </w:rPr>
        <w:t>目录中不含中英文摘要</w:t>
      </w:r>
    </w:p>
  </w:comment>
  <w:comment w:id="19" w:author="cindy" w:date="2022-09-13T11:20:56Z" w:initials="">
    <w:p w14:paraId="08812F70">
      <w:pPr>
        <w:pStyle w:val="8"/>
        <w:rPr>
          <w:rFonts w:hint="eastAsia"/>
        </w:rPr>
      </w:pPr>
      <w:r>
        <w:rPr>
          <w:rFonts w:hint="eastAsia"/>
        </w:rPr>
        <w:t>引言（或绪论、前言）一般单独作为一章排写。应包括：本研究课题的学术背景及理论与实际意义；</w:t>
      </w:r>
      <w:r>
        <w:rPr>
          <w:rFonts w:hint="eastAsia"/>
          <w:color w:val="FF0000"/>
        </w:rPr>
        <w:t>国内外文献综述</w:t>
      </w:r>
      <w:r>
        <w:rPr>
          <w:rFonts w:hint="eastAsia"/>
        </w:rPr>
        <w:t>；本研究课题的来源及本文主要研究内容。</w:t>
      </w:r>
    </w:p>
    <w:p w14:paraId="2EFD256D">
      <w:pPr>
        <w:pStyle w:val="8"/>
        <w:rPr>
          <w:rFonts w:hint="eastAsia"/>
        </w:rPr>
      </w:pPr>
      <w:r>
        <w:rPr>
          <w:rFonts w:hint="eastAsia" w:cs="宋体"/>
        </w:rPr>
        <w:t>一级标题，黑体，三号，行距</w:t>
      </w:r>
      <w:r>
        <w:t>3</w:t>
      </w:r>
      <w:r>
        <w:rPr>
          <w:rFonts w:hint="eastAsia" w:cs="宋体"/>
        </w:rPr>
        <w:t>倍，居中</w:t>
      </w:r>
      <w:r>
        <w:rPr>
          <w:rFonts w:hint="eastAsia"/>
          <w:lang w:val="en-US" w:eastAsia="zh-CN"/>
        </w:rPr>
        <w:t>。</w:t>
      </w:r>
      <w:r>
        <w:rPr>
          <w:rFonts w:hint="eastAsia" w:cs="宋体"/>
        </w:rPr>
        <w:t>下同</w:t>
      </w:r>
    </w:p>
  </w:comment>
  <w:comment w:id="20" w:author="cindy" w:date="2022-09-13T11:21:26Z" w:initials="">
    <w:p w14:paraId="1DD5273F">
      <w:pPr>
        <w:pStyle w:val="8"/>
      </w:pPr>
      <w:r>
        <w:rPr>
          <w:rFonts w:hint="eastAsia" w:cs="宋体"/>
        </w:rPr>
        <w:t>二级标题，黑体，小三号，</w:t>
      </w:r>
      <w:r>
        <w:t>1.5</w:t>
      </w:r>
      <w:r>
        <w:rPr>
          <w:rFonts w:hint="eastAsia" w:cs="宋体"/>
        </w:rPr>
        <w:t>倍行距，首行缩进</w:t>
      </w:r>
      <w:r>
        <w:t>2</w:t>
      </w:r>
      <w:r>
        <w:rPr>
          <w:rFonts w:hint="eastAsia" w:cs="宋体"/>
        </w:rPr>
        <w:t>字符</w:t>
      </w:r>
      <w:r>
        <w:rPr>
          <w:rFonts w:hint="eastAsia"/>
          <w:lang w:val="en-US" w:eastAsia="zh-CN"/>
        </w:rPr>
        <w:t>。</w:t>
      </w:r>
      <w:r>
        <w:rPr>
          <w:rFonts w:hint="eastAsia" w:cs="宋体"/>
        </w:rPr>
        <w:t>下同</w:t>
      </w:r>
      <w:r>
        <w:rPr>
          <w:rFonts w:hint="eastAsia" w:cs="宋体"/>
          <w:lang w:val="en-US" w:eastAsia="zh-CN"/>
        </w:rPr>
        <w:t xml:space="preserve"> </w:t>
      </w:r>
      <w:r>
        <w:rPr>
          <w:rFonts w:hint="eastAsia"/>
          <w:lang w:val="en-US" w:eastAsia="zh-CN"/>
        </w:rPr>
        <w:t xml:space="preserve"> </w:t>
      </w:r>
    </w:p>
  </w:comment>
  <w:comment w:id="21" w:author="cindy" w:date="2022-09-13T11:21:36Z" w:initials="">
    <w:p w14:paraId="10290173">
      <w:pPr>
        <w:pStyle w:val="8"/>
      </w:pPr>
      <w:r>
        <w:rPr>
          <w:rFonts w:hint="eastAsia" w:cs="宋体"/>
        </w:rPr>
        <w:t>三级标题，四号，黑体，</w:t>
      </w:r>
      <w:r>
        <w:t>1.5</w:t>
      </w:r>
      <w:r>
        <w:rPr>
          <w:rFonts w:hint="eastAsia" w:cs="宋体"/>
        </w:rPr>
        <w:t>倍行距，首行缩进</w:t>
      </w:r>
      <w:r>
        <w:t>2</w:t>
      </w:r>
      <w:r>
        <w:rPr>
          <w:rFonts w:hint="eastAsia" w:cs="宋体"/>
        </w:rPr>
        <w:t>字符</w:t>
      </w:r>
      <w:r>
        <w:rPr>
          <w:rFonts w:hint="eastAsia"/>
          <w:lang w:val="en-US" w:eastAsia="zh-CN"/>
        </w:rPr>
        <w:t xml:space="preserve">。 </w:t>
      </w:r>
      <w:r>
        <w:rPr>
          <w:rFonts w:hint="eastAsia" w:cs="宋体"/>
        </w:rPr>
        <w:t>下同</w:t>
      </w:r>
    </w:p>
  </w:comment>
  <w:comment w:id="22" w:author="cindy" w:date="2022-09-13T11:21:49Z" w:initials="">
    <w:p w14:paraId="00564848">
      <w:pPr>
        <w:pStyle w:val="8"/>
        <w:ind w:firstLine="784"/>
      </w:pPr>
      <w:r>
        <w:rPr>
          <w:rFonts w:hint="default" w:ascii="Times New Roman" w:hAnsi="Times New Roman" w:cs="Times New Roman"/>
        </w:rPr>
        <w:t>正文内容中文采用宋体，英文采用“Times New Roman”，小四号，1.5倍行距</w:t>
      </w:r>
    </w:p>
  </w:comment>
  <w:comment w:id="23" w:author="cindy" w:date="2022-09-13T11:22:58Z" w:initials="">
    <w:p w14:paraId="73764F59">
      <w:pPr>
        <w:pStyle w:val="8"/>
        <w:rPr>
          <w:rFonts w:hint="eastAsia" w:ascii="宋体" w:hAnsi="宋体" w:eastAsia="宋体" w:cs="宋体"/>
          <w:color w:val="auto"/>
          <w:sz w:val="32"/>
          <w:highlight w:val="none"/>
          <w:lang w:val="en-US" w:eastAsia="zh-CN"/>
        </w:rPr>
      </w:pPr>
      <w:r>
        <w:rPr>
          <w:rFonts w:hint="eastAsia" w:ascii="宋体" w:hAnsi="宋体" w:eastAsia="宋体" w:cs="宋体"/>
          <w:color w:val="auto"/>
          <w:sz w:val="32"/>
          <w:highlight w:val="none"/>
          <w:lang w:eastAsia="zh-CN"/>
        </w:rPr>
        <w:t>论文正文部分页码编码为：阿拉伯数字</w:t>
      </w:r>
      <w:r>
        <w:rPr>
          <w:rFonts w:hint="eastAsia" w:ascii="宋体" w:hAnsi="宋体" w:eastAsia="宋体" w:cs="宋体"/>
          <w:color w:val="auto"/>
          <w:sz w:val="32"/>
          <w:highlight w:val="none"/>
          <w:lang w:val="en-US" w:eastAsia="zh-CN"/>
        </w:rPr>
        <w:t>1、2、3、4、5等连续编排。</w:t>
      </w:r>
    </w:p>
    <w:p w14:paraId="2DDF2F9E">
      <w:pPr>
        <w:pStyle w:val="8"/>
        <w:rPr>
          <w:rFonts w:hint="default" w:ascii="宋体" w:hAnsi="宋体" w:eastAsia="宋体" w:cs="宋体"/>
          <w:color w:val="auto"/>
          <w:sz w:val="32"/>
          <w:highlight w:val="none"/>
          <w:lang w:val="en-US" w:eastAsia="zh-CN"/>
        </w:rPr>
      </w:pPr>
      <w:r>
        <w:rPr>
          <w:rFonts w:hint="eastAsia" w:ascii="宋体" w:hAnsi="宋体" w:cs="宋体"/>
          <w:color w:val="auto"/>
          <w:sz w:val="32"/>
          <w:highlight w:val="none"/>
          <w:lang w:val="en-US" w:eastAsia="zh-CN"/>
        </w:rPr>
        <w:t>页码均为宋体小五号字体。</w:t>
      </w:r>
    </w:p>
  </w:comment>
  <w:comment w:id="24" w:author="cindy" w:date="2022-09-13T11:22:04Z" w:initials="">
    <w:p w14:paraId="00AE5663">
      <w:pPr>
        <w:pStyle w:val="8"/>
        <w:ind w:firstLine="784"/>
      </w:pPr>
      <w:r>
        <w:rPr>
          <w:rFonts w:hint="default" w:ascii="Times New Roman" w:hAnsi="Times New Roman" w:cs="Times New Roman"/>
        </w:rPr>
        <w:t>正文内容数字采用“Times New Roman”，小四号</w:t>
      </w:r>
    </w:p>
  </w:comment>
  <w:comment w:id="25" w:author="cindy" w:date="2022-09-13T11:22:38Z" w:initials="">
    <w:p w14:paraId="20A52D33">
      <w:pPr>
        <w:pStyle w:val="8"/>
        <w:rPr>
          <w:rFonts w:hint="eastAsia" w:cs="宋体"/>
          <w:color w:val="FF0000"/>
          <w:lang w:eastAsia="zh-CN"/>
        </w:rPr>
      </w:pPr>
      <w:r>
        <w:rPr>
          <w:rFonts w:hint="eastAsia" w:cs="宋体"/>
          <w:color w:val="FF0000"/>
        </w:rPr>
        <w:t>正文中引用参考文献的部位，</w:t>
      </w:r>
      <w:r>
        <w:rPr>
          <w:rFonts w:hint="eastAsia" w:cs="宋体"/>
          <w:color w:val="FF0000"/>
          <w:lang w:val="en-US" w:eastAsia="zh-CN"/>
        </w:rPr>
        <w:t>可</w:t>
      </w:r>
      <w:r>
        <w:rPr>
          <w:rFonts w:hint="eastAsia" w:cs="宋体"/>
          <w:color w:val="FF0000"/>
        </w:rPr>
        <w:t>用上标标注</w:t>
      </w:r>
      <w:r>
        <w:rPr>
          <w:rFonts w:hint="eastAsia" w:cs="宋体"/>
          <w:color w:val="FF0000"/>
          <w:vertAlign w:val="superscript"/>
        </w:rPr>
        <w:t>[参考文献序号]</w:t>
      </w:r>
      <w:r>
        <w:rPr>
          <w:rFonts w:hint="eastAsia" w:cs="宋体"/>
          <w:color w:val="FF0000"/>
        </w:rPr>
        <w:t>，标注在标点符号之前</w:t>
      </w:r>
      <w:r>
        <w:rPr>
          <w:rFonts w:hint="eastAsia" w:cs="宋体"/>
          <w:color w:val="FF0000"/>
          <w:lang w:eastAsia="zh-CN"/>
        </w:rPr>
        <w:t>，如：“…</w:t>
      </w:r>
      <w:r>
        <w:rPr>
          <w:rFonts w:ascii="Times New Roman" w:hAnsi="Times New Roman" w:cs="Times New Roman"/>
          <w:color w:val="FF0000"/>
          <w:sz w:val="24"/>
          <w:szCs w:val="24"/>
        </w:rPr>
        <w:t>法律形式为依据</w:t>
      </w:r>
      <w:r>
        <w:rPr>
          <w:rFonts w:hint="eastAsia" w:ascii="Times New Roman" w:hAnsi="Times New Roman" w:cs="Times New Roman"/>
          <w:color w:val="FF0000"/>
          <w:sz w:val="24"/>
          <w:szCs w:val="24"/>
          <w:vertAlign w:val="superscript"/>
          <w:lang w:val="en-US" w:eastAsia="zh-CN"/>
        </w:rPr>
        <w:t>[1]</w:t>
      </w:r>
      <w:r>
        <w:rPr>
          <w:rFonts w:hint="eastAsia" w:cs="宋体"/>
          <w:color w:val="FF0000"/>
          <w:lang w:eastAsia="zh-CN"/>
        </w:rPr>
        <w:t>。”</w:t>
      </w:r>
    </w:p>
    <w:p w14:paraId="38D929BE">
      <w:pPr>
        <w:pStyle w:val="8"/>
        <w:rPr>
          <w:rFonts w:hint="eastAsia" w:cs="宋体"/>
          <w:color w:val="FF0000"/>
        </w:rPr>
      </w:pPr>
      <w:r>
        <w:rPr>
          <w:rFonts w:hint="eastAsia" w:cs="宋体"/>
          <w:color w:val="FF0000"/>
        </w:rPr>
        <w:t>参考文献应按文中引用出现的顺序排列</w:t>
      </w:r>
    </w:p>
    <w:p w14:paraId="400E4E41">
      <w:pPr>
        <w:pStyle w:val="8"/>
      </w:pPr>
      <w:r>
        <w:rPr>
          <w:rFonts w:hint="eastAsia" w:cs="宋体"/>
          <w:color w:val="FF0000"/>
        </w:rPr>
        <w:t>一篇论著在论文中多处引用时，在参考文献中只应出现一次，序号以第一次出现的位置为准。</w:t>
      </w:r>
    </w:p>
  </w:comment>
  <w:comment w:id="26" w:author="cindy" w:date="2022-09-13T11:25:04Z" w:initials="">
    <w:p w14:paraId="0DB12606">
      <w:pPr>
        <w:pStyle w:val="8"/>
      </w:pPr>
      <w:r>
        <w:rPr>
          <w:rFonts w:hint="eastAsia"/>
        </w:rPr>
        <w:t>各层次标题内容连续排版，</w:t>
      </w:r>
      <w:r>
        <w:rPr>
          <w:rFonts w:hint="eastAsia"/>
          <w:color w:val="FF0000"/>
        </w:rPr>
        <w:t>不另起页。</w:t>
      </w:r>
    </w:p>
  </w:comment>
  <w:comment w:id="27" w:author="cindy" w:date="2022-09-13T11:28:06Z" w:initials="">
    <w:p w14:paraId="53C766E9">
      <w:pPr>
        <w:pStyle w:val="8"/>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论文的表格</w:t>
      </w:r>
      <w:r>
        <w:rPr>
          <w:rFonts w:hint="eastAsia" w:ascii="Times New Roman" w:hAnsi="Times New Roman" w:cs="Times New Roman"/>
          <w:lang w:val="en-US" w:eastAsia="zh-CN"/>
        </w:rPr>
        <w:t>应</w:t>
      </w:r>
      <w:r>
        <w:rPr>
          <w:rFonts w:hint="default" w:ascii="Times New Roman" w:hAnsi="Times New Roman" w:eastAsia="宋体" w:cs="Times New Roman"/>
          <w:color w:val="FF0000"/>
          <w:lang w:val="en-US" w:eastAsia="zh-CN"/>
        </w:rPr>
        <w:t>逐章单独</w:t>
      </w:r>
      <w:r>
        <w:rPr>
          <w:rFonts w:hint="eastAsia" w:ascii="Times New Roman" w:hAnsi="Times New Roman" w:cs="Times New Roman"/>
          <w:color w:val="FF0000"/>
          <w:lang w:val="en-US" w:eastAsia="zh-CN"/>
        </w:rPr>
        <w:t>连续</w:t>
      </w:r>
      <w:r>
        <w:rPr>
          <w:rFonts w:hint="default" w:ascii="Times New Roman" w:hAnsi="Times New Roman" w:eastAsia="宋体" w:cs="Times New Roman"/>
          <w:color w:val="FF0000"/>
          <w:lang w:val="en-US" w:eastAsia="zh-CN"/>
        </w:rPr>
        <w:t>编序（如：表3-1）</w:t>
      </w:r>
      <w:r>
        <w:rPr>
          <w:rFonts w:hint="default" w:ascii="Times New Roman" w:hAnsi="Times New Roman" w:eastAsia="宋体" w:cs="Times New Roman"/>
          <w:lang w:val="en-US" w:eastAsia="zh-CN"/>
        </w:rPr>
        <w:t>，编序方式</w:t>
      </w:r>
      <w:r>
        <w:rPr>
          <w:rFonts w:hint="eastAsia" w:ascii="Times New Roman" w:hAnsi="Times New Roman" w:cs="Times New Roman"/>
          <w:lang w:val="en-US" w:eastAsia="zh-CN"/>
        </w:rPr>
        <w:t>整篇论文应</w:t>
      </w:r>
      <w:r>
        <w:rPr>
          <w:rFonts w:hint="default" w:ascii="Times New Roman" w:hAnsi="Times New Roman" w:eastAsia="宋体" w:cs="Times New Roman"/>
          <w:lang w:val="en-US" w:eastAsia="zh-CN"/>
        </w:rPr>
        <w:t>统一。</w:t>
      </w:r>
    </w:p>
    <w:p w14:paraId="0D56680C">
      <w:pPr>
        <w:pStyle w:val="8"/>
      </w:pPr>
      <w:r>
        <w:rPr>
          <w:rFonts w:hint="default" w:ascii="Times New Roman" w:hAnsi="Times New Roman" w:eastAsia="宋体" w:cs="Times New Roman"/>
          <w:color w:val="FF0000"/>
          <w:lang w:val="en-US" w:eastAsia="zh-CN"/>
        </w:rPr>
        <w:t>表序必须连续，不得重复或跳跃。</w:t>
      </w:r>
    </w:p>
  </w:comment>
  <w:comment w:id="28" w:author="cindy" w:date="2022-09-13T11:28:18Z" w:initials="">
    <w:p w14:paraId="2D115F1B">
      <w:pPr>
        <w:pStyle w:val="8"/>
        <w:rPr>
          <w:rFonts w:hint="eastAsia"/>
        </w:rPr>
      </w:pPr>
      <w:r>
        <w:rPr>
          <w:rFonts w:hint="eastAsia"/>
        </w:rPr>
        <w:t>表格的结构应简洁，采用三线表。</w:t>
      </w:r>
    </w:p>
    <w:p w14:paraId="764320D5">
      <w:pPr>
        <w:pStyle w:val="8"/>
      </w:pPr>
      <w:r>
        <w:rPr>
          <w:rFonts w:hint="eastAsia"/>
        </w:rPr>
        <w:t>表格的排版应合理美观，</w:t>
      </w:r>
      <w:r>
        <w:rPr>
          <w:rFonts w:hint="eastAsia"/>
          <w:color w:val="FF0000"/>
        </w:rPr>
        <w:t>不得跨页。</w:t>
      </w:r>
    </w:p>
  </w:comment>
  <w:comment w:id="29" w:author="cindy" w:date="2022-09-13T11:28:33Z" w:initials="">
    <w:p w14:paraId="7A5B46B5">
      <w:pPr>
        <w:pStyle w:val="8"/>
      </w:pPr>
      <w:r>
        <w:rPr>
          <w:rFonts w:hint="eastAsia" w:cs="宋体"/>
        </w:rPr>
        <w:t>表头：表格标题</w:t>
      </w:r>
      <w:r>
        <w:rPr>
          <w:rFonts w:hint="eastAsia" w:cs="宋体"/>
          <w:lang w:val="en-US" w:eastAsia="zh-CN"/>
        </w:rPr>
        <w:t xml:space="preserve"> </w:t>
      </w:r>
      <w:r>
        <w:rPr>
          <w:rFonts w:hint="eastAsia" w:cs="宋体"/>
        </w:rPr>
        <w:t>应在表格上方黑体，五号，居中，</w:t>
      </w:r>
      <w:r>
        <w:t>1.5</w:t>
      </w:r>
      <w:r>
        <w:rPr>
          <w:rFonts w:hint="eastAsia" w:cs="宋体"/>
        </w:rPr>
        <w:t>倍行距。</w:t>
      </w:r>
      <w:r>
        <w:rPr>
          <w:rFonts w:hint="eastAsia" w:cs="宋体"/>
          <w:color w:val="FF0000"/>
        </w:rPr>
        <w:t>表编号与标题之间空</w:t>
      </w:r>
      <w:r>
        <w:rPr>
          <w:color w:val="FF0000"/>
        </w:rPr>
        <w:t>2</w:t>
      </w:r>
      <w:r>
        <w:rPr>
          <w:rFonts w:hint="eastAsia" w:cs="宋体"/>
          <w:color w:val="FF0000"/>
        </w:rPr>
        <w:t>个字符</w:t>
      </w:r>
    </w:p>
  </w:comment>
  <w:comment w:id="30" w:author="cindy" w:date="2022-09-13T11:28:47Z" w:initials="">
    <w:p w14:paraId="47816AE6">
      <w:pPr>
        <w:pStyle w:val="8"/>
      </w:pPr>
      <w:r>
        <w:rPr>
          <w:rFonts w:hint="eastAsia" w:cs="宋体"/>
          <w:color w:val="FF0000"/>
          <w:lang w:val="en-US" w:eastAsia="zh-CN"/>
        </w:rPr>
        <w:t>表格内项目标题字体采用宋体，五号字号，加粗，居中对齐</w:t>
      </w:r>
    </w:p>
  </w:comment>
  <w:comment w:id="31" w:author="cindy" w:date="2022-09-13T11:29:05Z" w:initials="">
    <w:p w14:paraId="791674EF">
      <w:pPr>
        <w:pStyle w:val="8"/>
        <w:ind w:firstLine="784"/>
      </w:pPr>
      <w:r>
        <w:rPr>
          <w:rFonts w:hint="eastAsia" w:cs="宋体"/>
        </w:rPr>
        <w:t>表格内容：</w:t>
      </w:r>
      <w:r>
        <w:rPr>
          <w:rFonts w:hint="eastAsia" w:cs="宋体"/>
          <w:lang w:val="en-US" w:eastAsia="zh-CN"/>
        </w:rPr>
        <w:t>项目标题为</w:t>
      </w:r>
      <w:r>
        <w:rPr>
          <w:rFonts w:hint="eastAsia" w:cs="宋体"/>
        </w:rPr>
        <w:t>宋体，五号</w:t>
      </w:r>
      <w:r>
        <w:rPr>
          <w:rFonts w:hint="eastAsia" w:cs="宋体"/>
          <w:lang w:eastAsia="zh-CN"/>
        </w:rPr>
        <w:t>，</w:t>
      </w:r>
      <w:r>
        <w:rPr>
          <w:rFonts w:hint="eastAsia" w:cs="宋体"/>
          <w:lang w:val="en-US" w:eastAsia="zh-CN"/>
        </w:rPr>
        <w:t>居中，加粗</w:t>
      </w:r>
      <w:r>
        <w:rPr>
          <w:rFonts w:hint="eastAsia" w:cs="宋体"/>
          <w:lang w:eastAsia="zh-CN"/>
        </w:rPr>
        <w:t>；</w:t>
      </w:r>
      <w:r>
        <w:rPr>
          <w:rFonts w:hint="eastAsia" w:cs="宋体"/>
          <w:color w:val="FF0000"/>
          <w:lang w:val="en-US" w:eastAsia="zh-CN"/>
        </w:rPr>
        <w:t>正文</w:t>
      </w:r>
      <w:r>
        <w:rPr>
          <w:rFonts w:hint="eastAsia" w:cs="宋体"/>
          <w:color w:val="FF0000"/>
        </w:rPr>
        <w:t>中文为宋体，五号，居中</w:t>
      </w:r>
      <w:r>
        <w:rPr>
          <w:rFonts w:hint="eastAsia" w:cs="宋体"/>
        </w:rPr>
        <w:t>；英文和数字为</w:t>
      </w:r>
      <w:r>
        <w:rPr>
          <w:rFonts w:ascii="Times New Roman" w:hAnsi="Times New Roman" w:cs="Times New Roman"/>
          <w:sz w:val="28"/>
          <w:szCs w:val="28"/>
        </w:rPr>
        <w:t>Times New Roman</w:t>
      </w:r>
      <w:r>
        <w:rPr>
          <w:rFonts w:hint="eastAsia" w:ascii="Times New Roman" w:hAnsi="Times New Roman" w:cs="Times New Roman"/>
          <w:sz w:val="28"/>
          <w:szCs w:val="28"/>
        </w:rPr>
        <w:t>，五号，居中</w:t>
      </w:r>
    </w:p>
  </w:comment>
  <w:comment w:id="32" w:author="cindy" w:date="2022-09-13T11:29:23Z" w:initials="">
    <w:p w14:paraId="211A04BE">
      <w:pPr>
        <w:pStyle w:val="8"/>
        <w:ind w:firstLine="784"/>
      </w:pPr>
      <w:r>
        <w:rPr>
          <w:rFonts w:hint="eastAsia" w:cs="宋体"/>
          <w:color w:val="FF0000"/>
          <w:lang w:eastAsia="zh-CN"/>
        </w:rPr>
        <w:t>表格注释部分字体采用宋体</w:t>
      </w:r>
      <w:r>
        <w:rPr>
          <w:rFonts w:hint="eastAsia" w:cs="宋体"/>
          <w:color w:val="FF0000"/>
        </w:rPr>
        <w:t>，</w:t>
      </w:r>
      <w:r>
        <w:rPr>
          <w:rFonts w:hint="eastAsia" w:cs="宋体"/>
          <w:b/>
          <w:bCs/>
          <w:color w:val="FF0000"/>
          <w:lang w:eastAsia="zh-CN"/>
        </w:rPr>
        <w:t>小</w:t>
      </w:r>
      <w:r>
        <w:rPr>
          <w:rFonts w:hint="eastAsia" w:cs="宋体"/>
          <w:b/>
          <w:bCs/>
          <w:color w:val="FF0000"/>
        </w:rPr>
        <w:t>五号</w:t>
      </w:r>
      <w:r>
        <w:rPr>
          <w:rFonts w:hint="eastAsia" w:cs="宋体"/>
          <w:color w:val="FF0000"/>
        </w:rPr>
        <w:t>，</w:t>
      </w:r>
      <w:r>
        <w:rPr>
          <w:rFonts w:hint="eastAsia" w:cs="宋体"/>
          <w:color w:val="FF0000"/>
          <w:lang w:eastAsia="zh-CN"/>
        </w:rPr>
        <w:t>首行</w:t>
      </w:r>
      <w:r>
        <w:rPr>
          <w:rFonts w:hint="eastAsia" w:cs="宋体"/>
          <w:color w:val="FF0000"/>
        </w:rPr>
        <w:t>缩进</w:t>
      </w:r>
      <w:r>
        <w:rPr>
          <w:color w:val="FF0000"/>
        </w:rPr>
        <w:t>2</w:t>
      </w:r>
      <w:r>
        <w:rPr>
          <w:rFonts w:hint="eastAsia" w:cs="宋体"/>
          <w:color w:val="FF0000"/>
        </w:rPr>
        <w:t>个字符，</w:t>
      </w:r>
      <w:r>
        <w:rPr>
          <w:color w:val="FF0000"/>
        </w:rPr>
        <w:t>1.5</w:t>
      </w:r>
      <w:r>
        <w:rPr>
          <w:rFonts w:hint="eastAsia" w:cs="宋体"/>
          <w:color w:val="FF0000"/>
        </w:rPr>
        <w:t>倍行距</w:t>
      </w:r>
    </w:p>
  </w:comment>
  <w:comment w:id="33" w:author="cindy" w:date="2022-09-13T11:40:08Z" w:initials="">
    <w:p w14:paraId="79C536F6">
      <w:pPr>
        <w:pStyle w:val="8"/>
        <w:ind w:firstLine="784"/>
        <w:rPr>
          <w:rFonts w:hint="default" w:cs="宋体"/>
          <w:lang w:val="en-US" w:eastAsia="zh-CN"/>
        </w:rPr>
      </w:pPr>
      <w:r>
        <w:rPr>
          <w:rFonts w:hint="eastAsia" w:cs="宋体"/>
          <w:color w:val="FF0000"/>
          <w:lang w:val="en-US" w:eastAsia="zh-CN"/>
        </w:rPr>
        <w:t>图标题 应在图下方</w:t>
      </w:r>
      <w:r>
        <w:rPr>
          <w:rFonts w:hint="eastAsia" w:cs="宋体"/>
          <w:lang w:val="en-US" w:eastAsia="zh-CN"/>
        </w:rPr>
        <w:t>.</w:t>
      </w:r>
    </w:p>
    <w:p w14:paraId="08D114A5">
      <w:pPr>
        <w:pStyle w:val="8"/>
        <w:rPr>
          <w:rFonts w:hint="default" w:cs="宋体"/>
          <w:color w:val="FF0000"/>
          <w:lang w:val="en-US" w:eastAsia="zh-CN"/>
        </w:rPr>
      </w:pPr>
      <w:r>
        <w:rPr>
          <w:rFonts w:hint="eastAsia" w:cs="宋体"/>
          <w:lang w:val="en-US" w:eastAsia="zh-CN"/>
        </w:rPr>
        <w:t>图序</w:t>
      </w:r>
      <w:r>
        <w:rPr>
          <w:rFonts w:hint="eastAsia" w:cs="宋体"/>
          <w:color w:val="FF0000"/>
          <w:lang w:val="en-US" w:eastAsia="zh-CN"/>
        </w:rPr>
        <w:t>按章单独连续编序（如：图 3-1）</w:t>
      </w:r>
      <w:r>
        <w:rPr>
          <w:rFonts w:hint="eastAsia" w:cs="宋体"/>
          <w:lang w:val="en-US" w:eastAsia="zh-CN"/>
        </w:rPr>
        <w:t>，</w:t>
      </w:r>
      <w:r>
        <w:rPr>
          <w:rFonts w:hint="eastAsia" w:cs="宋体"/>
          <w:color w:val="FF0000"/>
          <w:lang w:val="en-US" w:eastAsia="zh-CN"/>
        </w:rPr>
        <w:t>图序必须连续，不得重复或跳跃。不得将图和表混在一起排序。</w:t>
      </w:r>
    </w:p>
    <w:p w14:paraId="6A5351D7">
      <w:pPr>
        <w:pStyle w:val="8"/>
        <w:ind w:left="155" w:hanging="154" w:hangingChars="79"/>
        <w:rPr>
          <w:rFonts w:hint="eastAsia" w:cs="宋体"/>
          <w:color w:val="FF0000"/>
        </w:rPr>
      </w:pPr>
    </w:p>
    <w:p w14:paraId="671059A4">
      <w:pPr>
        <w:pStyle w:val="8"/>
        <w:ind w:left="155" w:hanging="154" w:hangingChars="79"/>
      </w:pPr>
      <w:r>
        <w:rPr>
          <w:rFonts w:hint="eastAsia" w:cs="宋体"/>
          <w:color w:val="FF0000"/>
          <w:lang w:val="en-US" w:eastAsia="zh-CN"/>
        </w:rPr>
        <w:t>图内</w:t>
      </w:r>
      <w:r>
        <w:rPr>
          <w:rFonts w:hint="eastAsia" w:cs="宋体"/>
          <w:color w:val="FF0000"/>
        </w:rPr>
        <w:t>数字为常规</w:t>
      </w:r>
      <w:r>
        <w:rPr>
          <w:color w:val="FF0000"/>
        </w:rPr>
        <w:t>12</w:t>
      </w:r>
      <w:r>
        <w:rPr>
          <w:rFonts w:hint="eastAsia" w:cs="宋体"/>
          <w:color w:val="FF0000"/>
        </w:rPr>
        <w:t>号，</w:t>
      </w:r>
      <w:r>
        <w:rPr>
          <w:color w:val="FF0000"/>
        </w:rPr>
        <w:t>XY</w:t>
      </w:r>
      <w:r>
        <w:rPr>
          <w:rFonts w:hint="eastAsia" w:cs="宋体"/>
          <w:color w:val="FF0000"/>
        </w:rPr>
        <w:t>轴要有名称</w:t>
      </w:r>
      <w:r>
        <w:rPr>
          <w:rFonts w:hint="eastAsia" w:cs="宋体"/>
        </w:rPr>
        <w:t>，字体大小和刻度值根据需求调整，</w:t>
      </w:r>
      <w:r>
        <w:rPr>
          <w:rFonts w:hint="eastAsia" w:cs="宋体"/>
          <w:color w:val="FF0000"/>
        </w:rPr>
        <w:t>背景为白色，线条和曲线为黑色</w:t>
      </w:r>
      <w:r>
        <w:rPr>
          <w:rFonts w:hint="eastAsia" w:cs="宋体"/>
        </w:rPr>
        <w:t>（默认格式）</w:t>
      </w:r>
    </w:p>
    <w:p w14:paraId="5AAA5B9F">
      <w:pPr>
        <w:pStyle w:val="8"/>
        <w:rPr>
          <w:rFonts w:hint="eastAsia" w:cs="宋体"/>
          <w:color w:val="FF0000"/>
          <w:lang w:val="en-US" w:eastAsia="zh-CN"/>
        </w:rPr>
      </w:pPr>
    </w:p>
    <w:p w14:paraId="50226DD5">
      <w:pPr>
        <w:pStyle w:val="8"/>
        <w:rPr>
          <w:rFonts w:hint="eastAsia" w:cs="宋体"/>
          <w:color w:val="FF0000"/>
          <w:lang w:val="en-US" w:eastAsia="zh-CN"/>
        </w:rPr>
      </w:pPr>
      <w:r>
        <w:rPr>
          <w:rFonts w:hint="eastAsia"/>
        </w:rPr>
        <w:t>插图标题部分应在插图下方，</w:t>
      </w:r>
      <w:r>
        <w:rPr>
          <w:rFonts w:hint="eastAsia"/>
          <w:color w:val="FF0000"/>
        </w:rPr>
        <w:t>标题部分字体采用黑体，五号字号，</w:t>
      </w:r>
      <w:r>
        <w:rPr>
          <w:rFonts w:hint="eastAsia"/>
        </w:rPr>
        <w:t>上下文间均为1.5倍行距，居中对齐，</w:t>
      </w:r>
      <w:r>
        <w:rPr>
          <w:rFonts w:hint="eastAsia"/>
          <w:color w:val="FF0000"/>
        </w:rPr>
        <w:t>图序与标题内容间应空2个字符</w:t>
      </w:r>
      <w:r>
        <w:rPr>
          <w:rFonts w:hint="eastAsia"/>
        </w:rPr>
        <w:t>。</w:t>
      </w:r>
    </w:p>
  </w:comment>
  <w:comment w:id="34" w:author="cindy" w:date="2022-09-13T11:41:56Z" w:initials="">
    <w:p w14:paraId="2F812FC0">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48" w:lineRule="auto"/>
        <w:ind w:left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结论是对整个毕业论文（设计）主要成果的总结。在结论中应明确指出本研究内容的创造性成果或创新性理论（含新见解、新观点），对其应用前景和社会、经济价值等加以预测和评价，并指出今后进一步研究工作的展望与设想。</w:t>
      </w:r>
    </w:p>
    <w:p w14:paraId="6DA27DDD">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48" w:lineRule="auto"/>
        <w:ind w:leftChars="200"/>
        <w:jc w:val="both"/>
        <w:textAlignment w:val="auto"/>
        <w:rPr>
          <w:rFonts w:hint="eastAsia" w:ascii="宋体" w:hAnsi="宋体" w:cs="宋体"/>
          <w:color w:val="auto"/>
          <w:sz w:val="18"/>
          <w:szCs w:val="18"/>
          <w:highlight w:val="none"/>
          <w:lang w:val="en-US" w:eastAsia="zh-CN"/>
        </w:rPr>
      </w:pPr>
    </w:p>
    <w:p w14:paraId="777502B7">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48" w:lineRule="auto"/>
        <w:ind w:leftChars="200"/>
        <w:jc w:val="both"/>
        <w:textAlignment w:val="auto"/>
      </w:pPr>
      <w:r>
        <w:rPr>
          <w:rFonts w:hint="eastAsia" w:ascii="宋体" w:hAnsi="宋体" w:cs="宋体"/>
          <w:color w:val="FF0000"/>
          <w:sz w:val="18"/>
          <w:szCs w:val="18"/>
          <w:lang w:val="en-US" w:eastAsia="zh-CN"/>
        </w:rPr>
        <w:t>“</w:t>
      </w:r>
      <w:r>
        <w:rPr>
          <w:rFonts w:hint="eastAsia" w:ascii="宋体" w:hAnsi="宋体" w:cs="宋体"/>
          <w:color w:val="FF0000"/>
          <w:sz w:val="18"/>
          <w:szCs w:val="18"/>
          <w:highlight w:val="none"/>
          <w:lang w:val="en-US" w:eastAsia="zh-CN"/>
        </w:rPr>
        <w:t>结论”单独成页，</w:t>
      </w:r>
      <w:r>
        <w:rPr>
          <w:rFonts w:hint="eastAsia" w:ascii="宋体" w:hAnsi="宋体" w:eastAsia="宋体" w:cs="宋体"/>
          <w:color w:val="FF0000"/>
          <w:sz w:val="18"/>
          <w:szCs w:val="18"/>
          <w:highlight w:val="none"/>
          <w:lang w:eastAsia="zh-CN"/>
        </w:rPr>
        <w:t>结论前不加题序，一般不超过两页。</w:t>
      </w:r>
    </w:p>
  </w:comment>
  <w:comment w:id="35" w:author="cindy" w:date="2022-09-13T11:42:10Z" w:initials="">
    <w:p w14:paraId="1C3419B6">
      <w:pPr>
        <w:pStyle w:val="8"/>
        <w:ind w:firstLine="1264"/>
        <w:rPr>
          <w:rFonts w:hint="eastAsia" w:ascii="宋体" w:hAnsi="宋体" w:eastAsia="宋体" w:cs="宋体"/>
          <w:color w:val="FF0000"/>
          <w:sz w:val="18"/>
          <w:szCs w:val="18"/>
          <w:lang w:eastAsia="zh-CN"/>
        </w:rPr>
      </w:pPr>
      <w:r>
        <w:rPr>
          <w:rFonts w:hint="eastAsia" w:ascii="宋体" w:hAnsi="宋体" w:cs="宋体"/>
          <w:color w:val="FF0000"/>
          <w:sz w:val="18"/>
          <w:szCs w:val="18"/>
          <w:lang w:val="en-US" w:eastAsia="zh-CN"/>
        </w:rPr>
        <w:t>“</w:t>
      </w:r>
      <w:r>
        <w:rPr>
          <w:rFonts w:hint="eastAsia" w:ascii="宋体" w:hAnsi="宋体" w:eastAsia="宋体" w:cs="宋体"/>
          <w:color w:val="FF0000"/>
          <w:sz w:val="18"/>
          <w:szCs w:val="18"/>
          <w:lang w:val="en-US" w:eastAsia="zh-CN"/>
        </w:rPr>
        <w:t>参考文献</w:t>
      </w:r>
      <w:r>
        <w:rPr>
          <w:rFonts w:hint="eastAsia" w:ascii="宋体" w:hAnsi="宋体" w:cs="宋体"/>
          <w:color w:val="FF0000"/>
          <w:sz w:val="18"/>
          <w:szCs w:val="18"/>
          <w:highlight w:val="none"/>
          <w:lang w:val="en-US" w:eastAsia="zh-CN"/>
        </w:rPr>
        <w:t>”</w:t>
      </w:r>
      <w:r>
        <w:rPr>
          <w:rFonts w:hint="eastAsia" w:ascii="宋体" w:hAnsi="宋体" w:eastAsia="宋体" w:cs="宋体"/>
          <w:color w:val="FF0000"/>
          <w:sz w:val="18"/>
          <w:szCs w:val="18"/>
          <w:lang w:val="en-US" w:eastAsia="zh-CN"/>
        </w:rPr>
        <w:t>单独成页</w:t>
      </w:r>
      <w:r>
        <w:rPr>
          <w:rFonts w:hint="eastAsia" w:ascii="宋体" w:hAnsi="宋体" w:eastAsia="宋体" w:cs="宋体"/>
          <w:color w:val="FF0000"/>
          <w:sz w:val="18"/>
          <w:szCs w:val="18"/>
          <w:lang w:eastAsia="zh-CN"/>
        </w:rPr>
        <w:t>。</w:t>
      </w:r>
    </w:p>
    <w:p w14:paraId="165C58EC">
      <w:pPr>
        <w:pStyle w:val="8"/>
        <w:ind w:firstLine="1264"/>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标题格式：</w:t>
      </w:r>
      <w:r>
        <w:rPr>
          <w:rFonts w:hint="eastAsia" w:ascii="宋体" w:hAnsi="宋体" w:eastAsia="宋体" w:cs="宋体"/>
          <w:sz w:val="18"/>
          <w:szCs w:val="18"/>
        </w:rPr>
        <w:t>黑体、三号</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3倍行间距</w:t>
      </w:r>
    </w:p>
    <w:p w14:paraId="117302B2">
      <w:pPr>
        <w:pStyle w:val="8"/>
      </w:pPr>
      <w:r>
        <w:rPr>
          <w:rFonts w:hint="eastAsia" w:ascii="宋体" w:hAnsi="宋体" w:eastAsia="宋体" w:cs="宋体"/>
          <w:color w:val="FF0000"/>
          <w:sz w:val="18"/>
          <w:szCs w:val="18"/>
          <w:highlight w:val="none"/>
        </w:rPr>
        <w:t>参考文献</w:t>
      </w:r>
      <w:r>
        <w:rPr>
          <w:rFonts w:hint="eastAsia" w:ascii="宋体" w:hAnsi="宋体" w:eastAsia="宋体" w:cs="宋体"/>
          <w:color w:val="FF0000"/>
          <w:sz w:val="18"/>
          <w:szCs w:val="18"/>
          <w:highlight w:val="none"/>
          <w:lang w:eastAsia="zh-CN"/>
        </w:rPr>
        <w:t>总篇数应</w:t>
      </w:r>
      <w:r>
        <w:rPr>
          <w:rFonts w:hint="eastAsia" w:ascii="宋体" w:hAnsi="宋体" w:eastAsia="宋体" w:cs="宋体"/>
          <w:color w:val="FF0000"/>
          <w:sz w:val="18"/>
          <w:szCs w:val="18"/>
          <w:highlight w:val="none"/>
        </w:rPr>
        <w:t>有1</w:t>
      </w:r>
      <w:r>
        <w:rPr>
          <w:rFonts w:hint="eastAsia" w:ascii="宋体" w:hAnsi="宋体" w:cs="宋体"/>
          <w:color w:val="FF0000"/>
          <w:sz w:val="18"/>
          <w:szCs w:val="18"/>
          <w:highlight w:val="none"/>
          <w:lang w:val="en-US" w:eastAsia="zh-CN"/>
        </w:rPr>
        <w:t>5</w:t>
      </w:r>
      <w:r>
        <w:rPr>
          <w:rFonts w:hint="eastAsia" w:ascii="宋体" w:hAnsi="宋体" w:eastAsia="宋体" w:cs="宋体"/>
          <w:color w:val="FF0000"/>
          <w:sz w:val="18"/>
          <w:szCs w:val="18"/>
          <w:highlight w:val="none"/>
        </w:rPr>
        <w:t>篇以上，</w:t>
      </w:r>
      <w:r>
        <w:rPr>
          <w:rFonts w:hint="eastAsia" w:ascii="宋体" w:hAnsi="宋体" w:eastAsia="宋体" w:cs="宋体"/>
          <w:color w:val="auto"/>
          <w:sz w:val="18"/>
          <w:szCs w:val="18"/>
          <w:highlight w:val="none"/>
        </w:rPr>
        <w:t>包含著作、期刊等</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以期刊为主，其中原则上应有1篇以上外文参考文献，放在文末</w:t>
      </w:r>
      <w:r>
        <w:rPr>
          <w:rFonts w:hint="eastAsia" w:ascii="宋体" w:hAnsi="宋体" w:eastAsia="宋体" w:cs="宋体"/>
          <w:color w:val="auto"/>
          <w:sz w:val="18"/>
          <w:szCs w:val="18"/>
          <w:highlight w:val="none"/>
          <w:lang w:eastAsia="zh-CN"/>
        </w:rPr>
        <w:t>，</w:t>
      </w:r>
      <w:r>
        <w:rPr>
          <w:rFonts w:hint="eastAsia" w:ascii="宋体" w:hAnsi="宋体" w:eastAsia="宋体" w:cs="宋体"/>
          <w:color w:val="FF0000"/>
          <w:sz w:val="18"/>
          <w:szCs w:val="18"/>
          <w:highlight w:val="none"/>
        </w:rPr>
        <w:t>参考文献应</w:t>
      </w:r>
      <w:r>
        <w:rPr>
          <w:rFonts w:hint="eastAsia" w:ascii="宋体" w:hAnsi="宋体" w:eastAsia="宋体" w:cs="宋体"/>
          <w:color w:val="FF0000"/>
          <w:sz w:val="18"/>
          <w:szCs w:val="18"/>
          <w:highlight w:val="none"/>
          <w:lang w:val="en-US" w:eastAsia="zh-CN"/>
        </w:rPr>
        <w:t>为</w:t>
      </w:r>
      <w:r>
        <w:rPr>
          <w:rFonts w:hint="eastAsia" w:ascii="宋体" w:hAnsi="宋体" w:eastAsia="宋体" w:cs="宋体"/>
          <w:color w:val="FF0000"/>
          <w:sz w:val="18"/>
          <w:szCs w:val="18"/>
          <w:highlight w:val="none"/>
        </w:rPr>
        <w:t>近五年出版的期刊。</w:t>
      </w:r>
    </w:p>
  </w:comment>
  <w:comment w:id="36" w:author="cindy" w:date="2022-09-13T11:42:22Z" w:initials="">
    <w:p w14:paraId="3AD664DA">
      <w:pPr>
        <w:pStyle w:val="8"/>
        <w:ind w:firstLine="784"/>
      </w:pPr>
      <w:r>
        <w:rPr>
          <w:rFonts w:hint="default" w:ascii="Times New Roman" w:hAnsi="Times New Roman" w:eastAsia="宋体" w:cs="Times New Roman"/>
          <w:color w:val="FF0000"/>
          <w:sz w:val="32"/>
          <w:highlight w:val="none"/>
        </w:rPr>
        <w:t>参考文献</w:t>
      </w:r>
      <w:r>
        <w:rPr>
          <w:rFonts w:hint="default" w:ascii="Times New Roman" w:hAnsi="Times New Roman" w:eastAsia="宋体" w:cs="Times New Roman"/>
          <w:color w:val="FF0000"/>
          <w:sz w:val="32"/>
          <w:highlight w:val="none"/>
          <w:lang w:eastAsia="zh-CN"/>
        </w:rPr>
        <w:t>内容</w:t>
      </w:r>
      <w:r>
        <w:rPr>
          <w:rFonts w:hint="default" w:ascii="Times New Roman" w:hAnsi="Times New Roman" w:eastAsia="宋体" w:cs="Times New Roman"/>
          <w:color w:val="FF0000"/>
          <w:sz w:val="32"/>
          <w:highlight w:val="none"/>
          <w:lang w:val="en-US" w:eastAsia="zh-CN"/>
        </w:rPr>
        <w:t>中文采用宋体，英文采用“</w:t>
      </w:r>
      <w:r>
        <w:rPr>
          <w:rFonts w:hint="default" w:ascii="Times New Roman" w:hAnsi="Times New Roman" w:eastAsia="宋体" w:cs="Times New Roman"/>
          <w:color w:val="FF0000"/>
          <w:sz w:val="32"/>
          <w:highlight w:val="none"/>
          <w:lang w:eastAsia="zh-CN"/>
        </w:rPr>
        <w:t>Times New Roman</w:t>
      </w:r>
      <w:r>
        <w:rPr>
          <w:rFonts w:hint="default" w:ascii="Times New Roman" w:hAnsi="Times New Roman" w:eastAsia="宋体" w:cs="Times New Roman"/>
          <w:color w:val="FF0000"/>
          <w:sz w:val="32"/>
          <w:highlight w:val="none"/>
          <w:lang w:val="en-US" w:eastAsia="zh-CN"/>
        </w:rPr>
        <w:t>”</w:t>
      </w:r>
      <w:r>
        <w:rPr>
          <w:rFonts w:hint="default" w:ascii="Times New Roman" w:hAnsi="Times New Roman" w:eastAsia="宋体" w:cs="Times New Roman"/>
          <w:color w:val="auto"/>
          <w:sz w:val="32"/>
          <w:highlight w:val="none"/>
          <w:lang w:eastAsia="zh-CN"/>
        </w:rPr>
        <w:t>，</w:t>
      </w:r>
      <w:r>
        <w:rPr>
          <w:rFonts w:hint="eastAsia" w:ascii="Times New Roman" w:hAnsi="Times New Roman" w:cs="Times New Roman"/>
          <w:color w:val="auto"/>
          <w:sz w:val="32"/>
          <w:highlight w:val="none"/>
          <w:lang w:val="en-US" w:eastAsia="zh-CN"/>
        </w:rPr>
        <w:t>小四</w:t>
      </w:r>
      <w:r>
        <w:rPr>
          <w:rFonts w:hint="default" w:ascii="Times New Roman" w:hAnsi="Times New Roman" w:eastAsia="宋体" w:cs="Times New Roman"/>
          <w:color w:val="auto"/>
          <w:sz w:val="32"/>
          <w:highlight w:val="none"/>
          <w:lang w:val="en-US" w:eastAsia="zh-CN"/>
        </w:rPr>
        <w:t>号</w:t>
      </w:r>
      <w:r>
        <w:rPr>
          <w:rFonts w:hint="default" w:ascii="Times New Roman" w:hAnsi="Times New Roman" w:eastAsia="宋体" w:cs="Times New Roman"/>
          <w:color w:val="auto"/>
          <w:sz w:val="32"/>
          <w:highlight w:val="none"/>
          <w:lang w:eastAsia="zh-CN"/>
        </w:rPr>
        <w:t>，上下文间均为1.5倍行距，</w:t>
      </w:r>
      <w:r>
        <w:rPr>
          <w:rFonts w:hint="default" w:ascii="Times New Roman" w:hAnsi="Times New Roman" w:eastAsia="宋体" w:cs="Times New Roman"/>
          <w:color w:val="FF0000"/>
          <w:sz w:val="32"/>
          <w:highlight w:val="none"/>
          <w:lang w:eastAsia="zh-CN"/>
        </w:rPr>
        <w:t>悬挂缩进</w:t>
      </w:r>
      <w:r>
        <w:rPr>
          <w:rFonts w:hint="default" w:ascii="Times New Roman" w:hAnsi="Times New Roman" w:eastAsia="宋体" w:cs="Times New Roman"/>
          <w:color w:val="FF0000"/>
          <w:sz w:val="32"/>
          <w:highlight w:val="none"/>
          <w:lang w:val="en-US" w:eastAsia="zh-CN"/>
        </w:rPr>
        <w:t>2个字符</w:t>
      </w:r>
      <w:r>
        <w:rPr>
          <w:rFonts w:hint="default" w:ascii="Times New Roman" w:hAnsi="Times New Roman" w:eastAsia="宋体" w:cs="Times New Roman"/>
          <w:color w:val="FF0000"/>
          <w:sz w:val="32"/>
          <w:highlight w:val="none"/>
          <w:lang w:eastAsia="zh-CN"/>
        </w:rPr>
        <w:t>。</w:t>
      </w:r>
    </w:p>
  </w:comment>
  <w:comment w:id="37" w:author="cindy" w:date="2022-09-13T11:44:42Z" w:initials="">
    <w:p w14:paraId="1E2A1ABC">
      <w:pPr>
        <w:pStyle w:val="8"/>
        <w:rPr>
          <w:rFonts w:hint="eastAsia"/>
        </w:rPr>
      </w:pPr>
      <w:r>
        <w:rPr>
          <w:rFonts w:hint="eastAsia"/>
          <w:color w:val="FF0000"/>
        </w:rPr>
        <w:t>参考文献应按文中引用出现的顺序排列。</w:t>
      </w:r>
    </w:p>
    <w:p w14:paraId="5224106F">
      <w:pPr>
        <w:pStyle w:val="8"/>
      </w:pPr>
      <w:r>
        <w:rPr>
          <w:rFonts w:hint="eastAsia"/>
          <w:color w:val="FF0000"/>
        </w:rPr>
        <w:t>一篇论著在论文中多处引用时，在参考文献中只应出现一次，序号以第一次出现的位置为准。</w:t>
      </w:r>
    </w:p>
  </w:comment>
  <w:comment w:id="38" w:author="cindy" w:date="2022-09-13T11:44:53Z" w:initials="">
    <w:p w14:paraId="60C658E1">
      <w:pPr>
        <w:keepNext w:val="0"/>
        <w:keepLines w:val="0"/>
        <w:pageBreakBefore w:val="0"/>
        <w:widowControl w:val="0"/>
        <w:kinsoku/>
        <w:wordWrap/>
        <w:overflowPunct/>
        <w:topLinePunct w:val="0"/>
        <w:autoSpaceDE/>
        <w:autoSpaceDN/>
        <w:bidi w:val="0"/>
        <w:adjustRightInd w:val="0"/>
        <w:snapToGrid w:val="0"/>
        <w:spacing w:beforeLines="0" w:afterLines="0" w:line="348" w:lineRule="auto"/>
        <w:ind w:firstLine="352" w:firstLineChars="200"/>
        <w:jc w:val="both"/>
        <w:textAlignment w:val="auto"/>
      </w:pPr>
      <w:r>
        <w:rPr>
          <w:rFonts w:hint="default" w:ascii="Times New Roman" w:hAnsi="Times New Roman" w:eastAsia="宋体" w:cs="Times New Roman"/>
          <w:color w:val="auto"/>
          <w:sz w:val="18"/>
          <w:szCs w:val="18"/>
          <w:highlight w:val="none"/>
        </w:rPr>
        <w:t>参考文献</w:t>
      </w:r>
      <w:r>
        <w:rPr>
          <w:rFonts w:hint="default" w:ascii="Times New Roman" w:hAnsi="Times New Roman" w:eastAsia="宋体" w:cs="Times New Roman"/>
          <w:color w:val="auto"/>
          <w:sz w:val="18"/>
          <w:szCs w:val="18"/>
          <w:highlight w:val="none"/>
          <w:lang w:val="en-US" w:eastAsia="zh-CN"/>
        </w:rPr>
        <w:t>格式参照：《中华人民共和国国家标准GB／T7714．20l5文后参考文献著录规则（摘编）》。</w:t>
      </w:r>
    </w:p>
  </w:comment>
  <w:comment w:id="39" w:author="cindy" w:date="2022-09-13T11:45:02Z" w:initials="">
    <w:p w14:paraId="6E3E35B6">
      <w:pPr>
        <w:pStyle w:val="8"/>
        <w:ind w:firstLine="784"/>
      </w:pPr>
      <w:r>
        <w:rPr>
          <w:rFonts w:hint="eastAsia" w:cs="宋体"/>
        </w:rPr>
        <w:t>参考文献类型标识码：</w:t>
      </w:r>
      <w:r>
        <w:t xml:space="preserve"> M——</w:t>
      </w:r>
      <w:r>
        <w:rPr>
          <w:rFonts w:hint="eastAsia" w:cs="宋体"/>
        </w:rPr>
        <w:t>专著；</w:t>
      </w:r>
      <w:r>
        <w:t>C——-</w:t>
      </w:r>
      <w:r>
        <w:rPr>
          <w:rFonts w:hint="eastAsia" w:cs="宋体"/>
        </w:rPr>
        <w:t>论文集；</w:t>
      </w:r>
      <w:r>
        <w:t>N——</w:t>
      </w:r>
      <w:r>
        <w:rPr>
          <w:rFonts w:hint="eastAsia" w:cs="宋体"/>
        </w:rPr>
        <w:t>报纸文章；</w:t>
      </w:r>
      <w:r>
        <w:t>J——</w:t>
      </w:r>
      <w:r>
        <w:rPr>
          <w:rFonts w:hint="eastAsia" w:cs="宋体"/>
        </w:rPr>
        <w:t>期刊文章；D</w:t>
      </w:r>
      <w:r>
        <w:t>——</w:t>
      </w:r>
      <w:r>
        <w:rPr>
          <w:rFonts w:hint="eastAsia" w:cs="宋体"/>
        </w:rPr>
        <w:t>学术论文；</w:t>
      </w:r>
      <w:r>
        <w:t>R——-</w:t>
      </w:r>
      <w:r>
        <w:rPr>
          <w:rFonts w:hint="eastAsia" w:cs="宋体"/>
        </w:rPr>
        <w:t>报告；</w:t>
      </w:r>
      <w:r>
        <w:t>S——</w:t>
      </w:r>
      <w:r>
        <w:rPr>
          <w:rFonts w:hint="eastAsia" w:cs="宋体"/>
        </w:rPr>
        <w:t>标准；</w:t>
      </w:r>
      <w:r>
        <w:t>P——-</w:t>
      </w:r>
      <w:r>
        <w:rPr>
          <w:rFonts w:hint="eastAsia" w:cs="宋体"/>
        </w:rPr>
        <w:t>专利；</w:t>
      </w:r>
      <w:r>
        <w:t>A——</w:t>
      </w:r>
      <w:r>
        <w:rPr>
          <w:rFonts w:hint="eastAsia" w:cs="宋体"/>
        </w:rPr>
        <w:t>专著、论文集中的析出文献；</w:t>
      </w:r>
      <w:r>
        <w:t>Z——</w:t>
      </w:r>
      <w:r>
        <w:rPr>
          <w:rFonts w:hint="eastAsia" w:cs="宋体"/>
        </w:rPr>
        <w:t>其它末说明文献。</w:t>
      </w:r>
    </w:p>
  </w:comment>
  <w:comment w:id="40" w:author="cindy" w:date="2022-09-13T11:47:27Z" w:initials="">
    <w:p w14:paraId="7C0B6710">
      <w:pPr>
        <w:keepNext w:val="0"/>
        <w:keepLines w:val="0"/>
        <w:pageBreakBefore w:val="0"/>
        <w:widowControl w:val="0"/>
        <w:kinsoku/>
        <w:wordWrap/>
        <w:overflowPunct/>
        <w:topLinePunct w:val="0"/>
        <w:autoSpaceDE/>
        <w:autoSpaceDN/>
        <w:bidi w:val="0"/>
        <w:adjustRightInd w:val="0"/>
        <w:snapToGrid w:val="0"/>
        <w:spacing w:beforeLines="0" w:afterLines="0" w:line="348" w:lineRule="auto"/>
        <w:ind w:firstLine="352" w:firstLineChars="200"/>
        <w:jc w:val="both"/>
        <w:textAlignment w:val="auto"/>
      </w:pPr>
      <w:r>
        <w:rPr>
          <w:rFonts w:hint="eastAsia" w:ascii="宋体" w:hAnsi="宋体" w:eastAsia="宋体" w:cs="宋体"/>
          <w:color w:val="auto"/>
          <w:sz w:val="18"/>
          <w:szCs w:val="18"/>
          <w:highlight w:val="none"/>
          <w:lang w:eastAsia="zh-CN"/>
        </w:rPr>
        <w:t>致谢是作者对在毕业论文（设计）撰写过程中特别需要感谢的组织或者个人表示谢意的内容。文字要简洁、实事求是。</w:t>
      </w:r>
    </w:p>
  </w:comment>
  <w:comment w:id="41" w:author="cindy" w:date="2022-09-13T11:47:45Z" w:initials="">
    <w:p w14:paraId="521F4AB3">
      <w:pPr>
        <w:pStyle w:val="8"/>
        <w:ind w:firstLine="1264"/>
        <w:rPr>
          <w:rFonts w:hint="eastAsia" w:ascii="宋体" w:hAnsi="宋体" w:eastAsia="宋体" w:cs="宋体"/>
          <w:color w:val="FF0000"/>
          <w:sz w:val="18"/>
          <w:szCs w:val="18"/>
          <w:lang w:eastAsia="zh-CN"/>
        </w:rPr>
      </w:pPr>
      <w:r>
        <w:rPr>
          <w:rFonts w:hint="eastAsia" w:ascii="宋体" w:hAnsi="宋体" w:cs="宋体"/>
          <w:color w:val="FF0000"/>
          <w:sz w:val="18"/>
          <w:szCs w:val="18"/>
          <w:lang w:val="en-US" w:eastAsia="zh-CN"/>
        </w:rPr>
        <w:t>“致谢”</w:t>
      </w:r>
      <w:r>
        <w:rPr>
          <w:rFonts w:hint="eastAsia" w:ascii="宋体" w:hAnsi="宋体" w:eastAsia="宋体" w:cs="宋体"/>
          <w:color w:val="FF0000"/>
          <w:sz w:val="18"/>
          <w:szCs w:val="18"/>
          <w:lang w:val="en-US" w:eastAsia="zh-CN"/>
        </w:rPr>
        <w:t>单独成页</w:t>
      </w:r>
      <w:r>
        <w:rPr>
          <w:rFonts w:hint="eastAsia" w:ascii="宋体" w:hAnsi="宋体" w:eastAsia="宋体" w:cs="宋体"/>
          <w:color w:val="FF0000"/>
          <w:sz w:val="18"/>
          <w:szCs w:val="18"/>
          <w:lang w:eastAsia="zh-CN"/>
        </w:rPr>
        <w:t>。</w:t>
      </w:r>
    </w:p>
    <w:p w14:paraId="26074D1E">
      <w:pPr>
        <w:pStyle w:val="8"/>
        <w:ind w:firstLine="1264"/>
      </w:pPr>
      <w:r>
        <w:rPr>
          <w:rFonts w:hint="eastAsia" w:ascii="宋体" w:hAnsi="宋体" w:eastAsia="宋体" w:cs="宋体"/>
          <w:sz w:val="18"/>
          <w:szCs w:val="18"/>
          <w:lang w:val="en-US" w:eastAsia="zh-CN"/>
        </w:rPr>
        <w:t>标题格式：</w:t>
      </w:r>
      <w:r>
        <w:rPr>
          <w:rFonts w:hint="eastAsia" w:ascii="宋体" w:hAnsi="宋体" w:eastAsia="宋体" w:cs="宋体"/>
          <w:sz w:val="18"/>
          <w:szCs w:val="18"/>
        </w:rPr>
        <w:t>黑体、三号</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3倍行间距</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DA42BFE" w15:done="0"/>
  <w15:commentEx w15:paraId="43D62360" w15:done="0"/>
  <w15:commentEx w15:paraId="780F4866" w15:done="0"/>
  <w15:commentEx w15:paraId="161C0E32" w15:done="0"/>
  <w15:commentEx w15:paraId="5AD44D41" w15:done="0"/>
  <w15:commentEx w15:paraId="61F97A01" w15:done="0"/>
  <w15:commentEx w15:paraId="60BD4204" w15:done="0"/>
  <w15:commentEx w15:paraId="285C73F4" w15:done="0"/>
  <w15:commentEx w15:paraId="3A064C6E" w15:done="0"/>
  <w15:commentEx w15:paraId="183254D8" w15:done="0"/>
  <w15:commentEx w15:paraId="59A550CF" w15:done="0"/>
  <w15:commentEx w15:paraId="24374FCB" w15:done="0"/>
  <w15:commentEx w15:paraId="5D0A09F6" w15:done="0"/>
  <w15:commentEx w15:paraId="69CA3C64" w15:done="0"/>
  <w15:commentEx w15:paraId="22923FA7" w15:done="0"/>
  <w15:commentEx w15:paraId="68F81154" w15:done="0"/>
  <w15:commentEx w15:paraId="512C7703" w15:done="0"/>
  <w15:commentEx w15:paraId="641558AF" w15:done="0"/>
  <w15:commentEx w15:paraId="6A3417AE" w15:done="0"/>
  <w15:commentEx w15:paraId="2EFD256D" w15:done="0"/>
  <w15:commentEx w15:paraId="1DD5273F" w15:done="0"/>
  <w15:commentEx w15:paraId="10290173" w15:done="0"/>
  <w15:commentEx w15:paraId="00564848" w15:done="0"/>
  <w15:commentEx w15:paraId="2DDF2F9E" w15:done="0"/>
  <w15:commentEx w15:paraId="00AE5663" w15:done="0"/>
  <w15:commentEx w15:paraId="400E4E41" w15:done="0"/>
  <w15:commentEx w15:paraId="0DB12606" w15:done="0"/>
  <w15:commentEx w15:paraId="0D56680C" w15:done="0"/>
  <w15:commentEx w15:paraId="764320D5" w15:done="0"/>
  <w15:commentEx w15:paraId="7A5B46B5" w15:done="0"/>
  <w15:commentEx w15:paraId="47816AE6" w15:done="0"/>
  <w15:commentEx w15:paraId="791674EF" w15:done="0"/>
  <w15:commentEx w15:paraId="211A04BE" w15:done="0"/>
  <w15:commentEx w15:paraId="50226DD5" w15:done="0"/>
  <w15:commentEx w15:paraId="777502B7" w15:done="0"/>
  <w15:commentEx w15:paraId="117302B2" w15:done="0"/>
  <w15:commentEx w15:paraId="3AD664DA" w15:done="0"/>
  <w15:commentEx w15:paraId="5224106F" w15:done="0"/>
  <w15:commentEx w15:paraId="60C658E1" w15:done="0"/>
  <w15:commentEx w15:paraId="6E3E35B6" w15:done="0"/>
  <w15:commentEx w15:paraId="7C0B6710" w15:done="0"/>
  <w15:commentEx w15:paraId="26074D1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944"/>
      </w:pPr>
      <w:r>
        <w:separator/>
      </w:r>
    </w:p>
  </w:endnote>
  <w:endnote w:type="continuationSeparator" w:id="1">
    <w:p>
      <w:pPr>
        <w:spacing w:line="240" w:lineRule="auto"/>
        <w:ind w:firstLine="94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left" w:pos="900"/>
      </w:tabs>
      <w:ind w:firstLine="704"/>
      <w:jc w:val="both"/>
      <w:rPr>
        <w:rFonts w:cs="Times New Roman"/>
      </w:rPr>
    </w:pPr>
    <w:r>
      <w:rPr>
        <w:rFonts w:cs="Times New Roman"/>
      </w:rPr>
      <w:tab/>
    </w:r>
    <w:r>
      <w:rPr>
        <w:rFonts w:cs="Times New Roman"/>
      </w:rPr>
      <w:tab/>
    </w:r>
  </w:p>
  <w:p>
    <w:pPr>
      <w:pStyle w:val="14"/>
      <w:ind w:firstLine="0" w:firstLineChars="0"/>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70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0" w:firstLineChars="0"/>
      <w:rPr>
        <w:rFonts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left" w:pos="900"/>
      </w:tabs>
      <w:ind w:firstLine="704"/>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ind w:left="0" w:leftChars="0" w:firstLine="0" w:firstLineChars="0"/>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I</w:t>
                          </w:r>
                          <w:r>
                            <w:rPr>
                              <w:rFonts w:hint="eastAsia" w:ascii="宋体" w:hAnsi="宋体" w:eastAsia="宋体" w:cs="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14"/>
                      <w:ind w:left="0" w:leftChars="0" w:firstLine="0" w:firstLineChars="0"/>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I</w:t>
                    </w:r>
                    <w:r>
                      <w:rPr>
                        <w:rFonts w:hint="eastAsia" w:ascii="宋体" w:hAnsi="宋体" w:eastAsia="宋体" w:cs="宋体"/>
                        <w:lang w:eastAsia="zh-CN"/>
                      </w:rPr>
                      <w:fldChar w:fldCharType="end"/>
                    </w:r>
                  </w:p>
                </w:txbxContent>
              </v:textbox>
            </v:shape>
          </w:pict>
        </mc:Fallback>
      </mc:AlternateContent>
    </w:r>
  </w:p>
  <w:p>
    <w:pPr>
      <w:pStyle w:val="14"/>
      <w:ind w:firstLine="0" w:firstLineChars="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left" w:pos="900"/>
      </w:tabs>
      <w:ind w:firstLine="704"/>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ind w:left="0" w:leftChars="0" w:firstLine="0" w:firstLineChars="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4"/>
                      <w:ind w:left="0" w:leftChars="0" w:firstLine="0" w:firstLineChars="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mc:Fallback>
      </mc:AlternateContent>
    </w:r>
  </w:p>
  <w:p>
    <w:pPr>
      <w:pStyle w:val="14"/>
      <w:ind w:firstLine="0" w:firstLineChars="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left" w:pos="900"/>
      </w:tabs>
      <w:ind w:left="0" w:leftChars="0" w:firstLine="0" w:firstLineChars="0"/>
      <w:jc w:val="both"/>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-7620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ind w:left="0" w:leftChars="0" w:firstLine="0" w:firstLineChars="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6pt;height:144pt;width:144pt;mso-position-horizontal:center;mso-position-horizontal-relative:margin;mso-wrap-style:none;z-index:251662336;mso-width-relative:page;mso-height-relative:page;" filled="f" stroked="f" coordsize="21600,21600" o:gfxdata="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ZLCSvUAAAABwEAAA8AAAAAAAAAAQAgAAAAIgAAAGRycy9kb3ducmV2LnhtbFBL&#10;AQIUABQAAAAIAIdO4kBhrYRyMwIAAGMEAAAOAAAAAAAAAAEAIAAAACMBAABkcnMvZTJvRG9jLnht&#10;bFBLBQYAAAAABgAGAFkBAADIBQAAAAA=&#10;">
              <v:fill on="f" focussize="0,0"/>
              <v:stroke on="f" weight="0.5pt"/>
              <v:imagedata o:title=""/>
              <o:lock v:ext="edit" aspectratio="f"/>
              <v:textbox inset="0mm,0mm,0mm,0mm" style="mso-fit-shape-to-text:t;">
                <w:txbxContent>
                  <w:p>
                    <w:pPr>
                      <w:pStyle w:val="14"/>
                      <w:ind w:left="0" w:leftChars="0" w:firstLine="0" w:firstLineChars="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14"/>
                      <w:rPr>
                        <w:rFonts w:hint="eastAsia" w:eastAsia="宋体"/>
                        <w:lang w:eastAsia="zh-CN"/>
                      </w:rPr>
                    </w:pPr>
                  </w:p>
                </w:txbxContent>
              </v:textbox>
            </v:shape>
          </w:pict>
        </mc:Fallback>
      </mc:AlternateContent>
    </w:r>
  </w:p>
  <w:p>
    <w:pPr>
      <w:pStyle w:val="14"/>
      <w:ind w:firstLine="0" w:firstLineChars="0"/>
    </w:pPr>
  </w:p>
  <w:p>
    <w:pPr>
      <w:pStyle w:val="14"/>
      <w:ind w:firstLine="0" w:firstLineChars="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704"/>
      <w:rPr>
        <w:rStyle w:val="29"/>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ind w:left="0" w:leftChars="0" w:firstLine="0" w:firstLineChars="0"/>
                            <w:jc w:val="both"/>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4"/>
                      <w:ind w:left="0" w:leftChars="0" w:firstLine="0" w:firstLineChars="0"/>
                      <w:jc w:val="both"/>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posOffset>2188845</wp:posOffset>
              </wp:positionH>
              <wp:positionV relativeFrom="paragraph">
                <wp:posOffset>-69215</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ind w:left="0" w:leftChars="0" w:firstLine="0" w:firstLineChars="0"/>
                            <w:jc w:val="both"/>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72.35pt;margin-top:-5.45pt;height:144pt;width:144pt;mso-position-horizontal-relative:margin;mso-wrap-style:none;z-index:251660288;mso-width-relative:page;mso-height-relative:page;" filled="f" stroked="f" coordsize="21600,21600" o:gfxdata="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ECgUVjYAAAACwEAAA8AAAAAAAAAAQAgAAAAIgAAAGRycy9kb3ducmV2Lnht&#10;bFBLAQIUABQAAAAIAIdO4kCk+9p2MgIAAGMEAAAOAAAAAAAAAAEAIAAAACcBAABkcnMvZTJvRG9j&#10;LnhtbFBLBQYAAAAABgAGAFkBAADLBQAAAAA=&#10;">
              <v:fill on="f" focussize="0,0"/>
              <v:stroke on="f" weight="0.5pt"/>
              <v:imagedata o:title=""/>
              <o:lock v:ext="edit" aspectratio="f"/>
              <v:textbox inset="0mm,0mm,0mm,0mm" style="mso-fit-shape-to-text:t;">
                <w:txbxContent>
                  <w:p>
                    <w:pPr>
                      <w:pStyle w:val="14"/>
                      <w:ind w:left="0" w:leftChars="0" w:firstLine="0" w:firstLineChars="0"/>
                      <w:jc w:val="both"/>
                      <w:rPr>
                        <w:rFonts w:hint="eastAsia" w:eastAsia="宋体"/>
                        <w:lang w:eastAsia="zh-CN"/>
                      </w:rPr>
                    </w:pPr>
                  </w:p>
                </w:txbxContent>
              </v:textbox>
            </v:shape>
          </w:pict>
        </mc:Fallback>
      </mc:AlternateContent>
    </w:r>
  </w:p>
  <w:p>
    <w:pPr>
      <w:pStyle w:val="14"/>
      <w:tabs>
        <w:tab w:val="left" w:pos="900"/>
      </w:tabs>
      <w:ind w:firstLine="704"/>
      <w:jc w:val="both"/>
    </w:pPr>
    <w:r>
      <w:tab/>
    </w:r>
    <w:r>
      <w:tab/>
    </w:r>
  </w:p>
  <w:p>
    <w:pPr>
      <w:pStyle w:val="14"/>
      <w:ind w:firstLine="0" w:firstLineChars="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944"/>
      </w:pPr>
      <w:r>
        <w:separator/>
      </w:r>
    </w:p>
  </w:footnote>
  <w:footnote w:type="continuationSeparator" w:id="1">
    <w:p>
      <w:pPr>
        <w:spacing w:line="288" w:lineRule="auto"/>
        <w:ind w:firstLine="94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70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944" w:firstLine="0" w:firstLineChars="0"/>
      <w:rPr>
        <w:rFonts w:cs="Times New Roman"/>
      </w:rPr>
    </w:pPr>
    <w:r>
      <w:rPr>
        <w:rFonts w:cs="Times New Roman"/>
      </w:rPr>
      <w:tab/>
    </w:r>
    <w:r>
      <w:rPr>
        <w:rFonts w:cs="Times New Roman"/>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944"/>
    </w:pPr>
    <w:r>
      <w:tab/>
    </w:r>
    <w:r>
      <w:tab/>
    </w:r>
  </w:p>
  <w:p>
    <w:pPr>
      <w:ind w:left="944" w:firstLine="0" w:firstLineChars="0"/>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indy">
    <w15:presenceInfo w15:providerId="WPS Office" w15:userId="2151292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oNotHyphenateCaps/>
  <w:drawingGridHorizontalSpacing w:val="118"/>
  <w:drawingGridVerticalSpacing w:val="163"/>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iNDZjMGM4MzQ3YWIxNmQ5NzE0MTY0ZDliNjBjZTUifQ=="/>
  </w:docVars>
  <w:rsids>
    <w:rsidRoot w:val="00696C20"/>
    <w:rsid w:val="00007F67"/>
    <w:rsid w:val="0001134A"/>
    <w:rsid w:val="00011E6D"/>
    <w:rsid w:val="000243A5"/>
    <w:rsid w:val="000271EA"/>
    <w:rsid w:val="00030EEF"/>
    <w:rsid w:val="00035828"/>
    <w:rsid w:val="00036488"/>
    <w:rsid w:val="000557EB"/>
    <w:rsid w:val="0005642E"/>
    <w:rsid w:val="00060211"/>
    <w:rsid w:val="00061579"/>
    <w:rsid w:val="00062C1A"/>
    <w:rsid w:val="00065D76"/>
    <w:rsid w:val="00072C15"/>
    <w:rsid w:val="00077841"/>
    <w:rsid w:val="000D1E4D"/>
    <w:rsid w:val="000D6933"/>
    <w:rsid w:val="000E06C8"/>
    <w:rsid w:val="000E1FCC"/>
    <w:rsid w:val="000E2A54"/>
    <w:rsid w:val="000E5FA7"/>
    <w:rsid w:val="000E6ED2"/>
    <w:rsid w:val="000F3F00"/>
    <w:rsid w:val="000F688E"/>
    <w:rsid w:val="0010021D"/>
    <w:rsid w:val="001060F5"/>
    <w:rsid w:val="00112D24"/>
    <w:rsid w:val="001425AA"/>
    <w:rsid w:val="001431BB"/>
    <w:rsid w:val="00144C9E"/>
    <w:rsid w:val="00152894"/>
    <w:rsid w:val="00152A27"/>
    <w:rsid w:val="001544CB"/>
    <w:rsid w:val="0015602E"/>
    <w:rsid w:val="001A53A4"/>
    <w:rsid w:val="001A5D49"/>
    <w:rsid w:val="001B2467"/>
    <w:rsid w:val="001B2BA0"/>
    <w:rsid w:val="001B6604"/>
    <w:rsid w:val="001C2387"/>
    <w:rsid w:val="001D1CE8"/>
    <w:rsid w:val="001D75EF"/>
    <w:rsid w:val="001E08BE"/>
    <w:rsid w:val="001E20F1"/>
    <w:rsid w:val="001E28DA"/>
    <w:rsid w:val="001E435C"/>
    <w:rsid w:val="001E44AC"/>
    <w:rsid w:val="001E56DE"/>
    <w:rsid w:val="001F1770"/>
    <w:rsid w:val="001F2172"/>
    <w:rsid w:val="001F5BD2"/>
    <w:rsid w:val="0020424F"/>
    <w:rsid w:val="002054FB"/>
    <w:rsid w:val="00212F09"/>
    <w:rsid w:val="00216FA1"/>
    <w:rsid w:val="0023154F"/>
    <w:rsid w:val="00235B00"/>
    <w:rsid w:val="00236F61"/>
    <w:rsid w:val="00245144"/>
    <w:rsid w:val="00251754"/>
    <w:rsid w:val="0025246B"/>
    <w:rsid w:val="00256366"/>
    <w:rsid w:val="00257A72"/>
    <w:rsid w:val="00260196"/>
    <w:rsid w:val="00261B06"/>
    <w:rsid w:val="00264A69"/>
    <w:rsid w:val="002B742F"/>
    <w:rsid w:val="002C1306"/>
    <w:rsid w:val="002C48BA"/>
    <w:rsid w:val="002D40D3"/>
    <w:rsid w:val="002F56D7"/>
    <w:rsid w:val="00301241"/>
    <w:rsid w:val="0031451F"/>
    <w:rsid w:val="0031506C"/>
    <w:rsid w:val="00332117"/>
    <w:rsid w:val="0034601C"/>
    <w:rsid w:val="003513AE"/>
    <w:rsid w:val="00352226"/>
    <w:rsid w:val="00365646"/>
    <w:rsid w:val="00366B5E"/>
    <w:rsid w:val="00393EEA"/>
    <w:rsid w:val="00396408"/>
    <w:rsid w:val="003B693C"/>
    <w:rsid w:val="003E078D"/>
    <w:rsid w:val="003E337E"/>
    <w:rsid w:val="003E45F1"/>
    <w:rsid w:val="003F382D"/>
    <w:rsid w:val="00404907"/>
    <w:rsid w:val="00405A62"/>
    <w:rsid w:val="00412FED"/>
    <w:rsid w:val="004146FF"/>
    <w:rsid w:val="00415CCF"/>
    <w:rsid w:val="00425955"/>
    <w:rsid w:val="00435479"/>
    <w:rsid w:val="004368AA"/>
    <w:rsid w:val="00441F0B"/>
    <w:rsid w:val="0044291B"/>
    <w:rsid w:val="004432CD"/>
    <w:rsid w:val="0045423D"/>
    <w:rsid w:val="00474EA5"/>
    <w:rsid w:val="00476294"/>
    <w:rsid w:val="00477FC2"/>
    <w:rsid w:val="004B1111"/>
    <w:rsid w:val="004C436E"/>
    <w:rsid w:val="004C5A16"/>
    <w:rsid w:val="004E1596"/>
    <w:rsid w:val="004E1F3E"/>
    <w:rsid w:val="004E265F"/>
    <w:rsid w:val="004E3A87"/>
    <w:rsid w:val="004E4B37"/>
    <w:rsid w:val="00500516"/>
    <w:rsid w:val="00502260"/>
    <w:rsid w:val="00502277"/>
    <w:rsid w:val="00514A27"/>
    <w:rsid w:val="0051722B"/>
    <w:rsid w:val="005278BD"/>
    <w:rsid w:val="005325F9"/>
    <w:rsid w:val="00566373"/>
    <w:rsid w:val="00574A78"/>
    <w:rsid w:val="00587312"/>
    <w:rsid w:val="00594D75"/>
    <w:rsid w:val="005B4B7E"/>
    <w:rsid w:val="005C014F"/>
    <w:rsid w:val="005C2F0F"/>
    <w:rsid w:val="005E5952"/>
    <w:rsid w:val="005E7FCB"/>
    <w:rsid w:val="005F4E57"/>
    <w:rsid w:val="00606888"/>
    <w:rsid w:val="00627BD3"/>
    <w:rsid w:val="00632129"/>
    <w:rsid w:val="00643396"/>
    <w:rsid w:val="00651B96"/>
    <w:rsid w:val="00665DC5"/>
    <w:rsid w:val="00671A39"/>
    <w:rsid w:val="0068387A"/>
    <w:rsid w:val="006946E1"/>
    <w:rsid w:val="0069699F"/>
    <w:rsid w:val="00696C20"/>
    <w:rsid w:val="006B1360"/>
    <w:rsid w:val="006C0162"/>
    <w:rsid w:val="006C7876"/>
    <w:rsid w:val="006D3761"/>
    <w:rsid w:val="006D7862"/>
    <w:rsid w:val="006F6CCF"/>
    <w:rsid w:val="007024F5"/>
    <w:rsid w:val="007160DE"/>
    <w:rsid w:val="0074156D"/>
    <w:rsid w:val="00745B3F"/>
    <w:rsid w:val="0075458B"/>
    <w:rsid w:val="0075798E"/>
    <w:rsid w:val="0076376A"/>
    <w:rsid w:val="00763FCE"/>
    <w:rsid w:val="00764C43"/>
    <w:rsid w:val="00774D97"/>
    <w:rsid w:val="007B1650"/>
    <w:rsid w:val="007B4DBB"/>
    <w:rsid w:val="007D15D6"/>
    <w:rsid w:val="007D6464"/>
    <w:rsid w:val="007D766C"/>
    <w:rsid w:val="007E709A"/>
    <w:rsid w:val="007F2FC3"/>
    <w:rsid w:val="00816DE7"/>
    <w:rsid w:val="00823DC6"/>
    <w:rsid w:val="0082641F"/>
    <w:rsid w:val="00832658"/>
    <w:rsid w:val="00835107"/>
    <w:rsid w:val="00843D38"/>
    <w:rsid w:val="00845FA9"/>
    <w:rsid w:val="0085186A"/>
    <w:rsid w:val="00875083"/>
    <w:rsid w:val="00876F34"/>
    <w:rsid w:val="00883256"/>
    <w:rsid w:val="00891919"/>
    <w:rsid w:val="008A5E35"/>
    <w:rsid w:val="008C28D6"/>
    <w:rsid w:val="008C409D"/>
    <w:rsid w:val="008D5181"/>
    <w:rsid w:val="008E24EC"/>
    <w:rsid w:val="008E42F5"/>
    <w:rsid w:val="008E7B0C"/>
    <w:rsid w:val="0091010A"/>
    <w:rsid w:val="00932C17"/>
    <w:rsid w:val="00935223"/>
    <w:rsid w:val="0093552A"/>
    <w:rsid w:val="009400F6"/>
    <w:rsid w:val="00942C1B"/>
    <w:rsid w:val="00942ECC"/>
    <w:rsid w:val="00954661"/>
    <w:rsid w:val="009563C4"/>
    <w:rsid w:val="00962D3B"/>
    <w:rsid w:val="00982D17"/>
    <w:rsid w:val="00983666"/>
    <w:rsid w:val="00986872"/>
    <w:rsid w:val="00997723"/>
    <w:rsid w:val="009978BB"/>
    <w:rsid w:val="009A0901"/>
    <w:rsid w:val="009B47B2"/>
    <w:rsid w:val="009C489A"/>
    <w:rsid w:val="009E3C59"/>
    <w:rsid w:val="009E4501"/>
    <w:rsid w:val="009F0C1E"/>
    <w:rsid w:val="00A059C4"/>
    <w:rsid w:val="00A26BAB"/>
    <w:rsid w:val="00A26E44"/>
    <w:rsid w:val="00A33249"/>
    <w:rsid w:val="00A40ED6"/>
    <w:rsid w:val="00A5723E"/>
    <w:rsid w:val="00A61DCF"/>
    <w:rsid w:val="00A7591E"/>
    <w:rsid w:val="00A90090"/>
    <w:rsid w:val="00A953FF"/>
    <w:rsid w:val="00AA24BE"/>
    <w:rsid w:val="00AC26A0"/>
    <w:rsid w:val="00AC617D"/>
    <w:rsid w:val="00AD10D7"/>
    <w:rsid w:val="00AD2C6E"/>
    <w:rsid w:val="00AF6130"/>
    <w:rsid w:val="00AF6B9D"/>
    <w:rsid w:val="00B020FA"/>
    <w:rsid w:val="00B4267C"/>
    <w:rsid w:val="00B545C4"/>
    <w:rsid w:val="00B746EA"/>
    <w:rsid w:val="00B758C7"/>
    <w:rsid w:val="00B856AA"/>
    <w:rsid w:val="00B85D3C"/>
    <w:rsid w:val="00BA0ED7"/>
    <w:rsid w:val="00BA4304"/>
    <w:rsid w:val="00BA57EA"/>
    <w:rsid w:val="00BA5BFC"/>
    <w:rsid w:val="00BB1CBF"/>
    <w:rsid w:val="00BB2732"/>
    <w:rsid w:val="00BD08BF"/>
    <w:rsid w:val="00BD1DAE"/>
    <w:rsid w:val="00BD1F49"/>
    <w:rsid w:val="00BD6350"/>
    <w:rsid w:val="00BF2D68"/>
    <w:rsid w:val="00C02C54"/>
    <w:rsid w:val="00C27BA4"/>
    <w:rsid w:val="00C33B3D"/>
    <w:rsid w:val="00C3460B"/>
    <w:rsid w:val="00C41316"/>
    <w:rsid w:val="00C50ED8"/>
    <w:rsid w:val="00C56EB4"/>
    <w:rsid w:val="00C65A54"/>
    <w:rsid w:val="00C81138"/>
    <w:rsid w:val="00CA1B68"/>
    <w:rsid w:val="00CA23CA"/>
    <w:rsid w:val="00CA2E11"/>
    <w:rsid w:val="00CA6DFB"/>
    <w:rsid w:val="00CB6CE1"/>
    <w:rsid w:val="00CB7E0C"/>
    <w:rsid w:val="00CC0337"/>
    <w:rsid w:val="00CC3BB6"/>
    <w:rsid w:val="00CC6D54"/>
    <w:rsid w:val="00CD01C6"/>
    <w:rsid w:val="00CE045C"/>
    <w:rsid w:val="00D01DA0"/>
    <w:rsid w:val="00D23532"/>
    <w:rsid w:val="00D2393B"/>
    <w:rsid w:val="00D25AC4"/>
    <w:rsid w:val="00D25B1C"/>
    <w:rsid w:val="00D26DC0"/>
    <w:rsid w:val="00D30559"/>
    <w:rsid w:val="00D35BD0"/>
    <w:rsid w:val="00D4215F"/>
    <w:rsid w:val="00D554A1"/>
    <w:rsid w:val="00D712EA"/>
    <w:rsid w:val="00D7779D"/>
    <w:rsid w:val="00DA1381"/>
    <w:rsid w:val="00DA1EBF"/>
    <w:rsid w:val="00DA2418"/>
    <w:rsid w:val="00DA332A"/>
    <w:rsid w:val="00DB5AF6"/>
    <w:rsid w:val="00DC4F89"/>
    <w:rsid w:val="00DD6767"/>
    <w:rsid w:val="00E22666"/>
    <w:rsid w:val="00E2665F"/>
    <w:rsid w:val="00E367DB"/>
    <w:rsid w:val="00E42E5D"/>
    <w:rsid w:val="00E440C1"/>
    <w:rsid w:val="00E46686"/>
    <w:rsid w:val="00E55D25"/>
    <w:rsid w:val="00E61CE8"/>
    <w:rsid w:val="00E646F4"/>
    <w:rsid w:val="00E7203E"/>
    <w:rsid w:val="00E7311F"/>
    <w:rsid w:val="00E80C20"/>
    <w:rsid w:val="00E865CB"/>
    <w:rsid w:val="00E95F29"/>
    <w:rsid w:val="00EA4390"/>
    <w:rsid w:val="00EB1919"/>
    <w:rsid w:val="00EB6FED"/>
    <w:rsid w:val="00ED1D52"/>
    <w:rsid w:val="00EF7095"/>
    <w:rsid w:val="00F056F2"/>
    <w:rsid w:val="00F102A0"/>
    <w:rsid w:val="00F14D60"/>
    <w:rsid w:val="00F15995"/>
    <w:rsid w:val="00F173FD"/>
    <w:rsid w:val="00F23E9A"/>
    <w:rsid w:val="00F26CDB"/>
    <w:rsid w:val="00F35E08"/>
    <w:rsid w:val="00F368EB"/>
    <w:rsid w:val="00F373BE"/>
    <w:rsid w:val="00F42B7B"/>
    <w:rsid w:val="00F4461E"/>
    <w:rsid w:val="00F52EBA"/>
    <w:rsid w:val="00F54C62"/>
    <w:rsid w:val="00F604AC"/>
    <w:rsid w:val="00F61531"/>
    <w:rsid w:val="00F66917"/>
    <w:rsid w:val="00F70841"/>
    <w:rsid w:val="00F77876"/>
    <w:rsid w:val="00F80E7E"/>
    <w:rsid w:val="00FA14DF"/>
    <w:rsid w:val="00FA1BF1"/>
    <w:rsid w:val="00FC6B6D"/>
    <w:rsid w:val="00FE438F"/>
    <w:rsid w:val="00FF1163"/>
    <w:rsid w:val="00FF2BB3"/>
    <w:rsid w:val="00FF4232"/>
    <w:rsid w:val="00FF75E6"/>
    <w:rsid w:val="01202591"/>
    <w:rsid w:val="015E3F6C"/>
    <w:rsid w:val="016532FE"/>
    <w:rsid w:val="01D801BD"/>
    <w:rsid w:val="021F051D"/>
    <w:rsid w:val="0235126F"/>
    <w:rsid w:val="02486095"/>
    <w:rsid w:val="025C7AC4"/>
    <w:rsid w:val="02823E0D"/>
    <w:rsid w:val="02B02626"/>
    <w:rsid w:val="02EA3FF5"/>
    <w:rsid w:val="03F017DD"/>
    <w:rsid w:val="03FA29EB"/>
    <w:rsid w:val="04525217"/>
    <w:rsid w:val="046A4801"/>
    <w:rsid w:val="04BD70B4"/>
    <w:rsid w:val="04E742B4"/>
    <w:rsid w:val="05014F6B"/>
    <w:rsid w:val="05434DA1"/>
    <w:rsid w:val="05596966"/>
    <w:rsid w:val="05F25F6C"/>
    <w:rsid w:val="062B3EB9"/>
    <w:rsid w:val="06464EBE"/>
    <w:rsid w:val="06741EA7"/>
    <w:rsid w:val="068A19CF"/>
    <w:rsid w:val="068A6925"/>
    <w:rsid w:val="087F1279"/>
    <w:rsid w:val="092B073A"/>
    <w:rsid w:val="096A6BAA"/>
    <w:rsid w:val="0A506924"/>
    <w:rsid w:val="0B4658E7"/>
    <w:rsid w:val="0BEA6CDA"/>
    <w:rsid w:val="0C0F7712"/>
    <w:rsid w:val="0C397E0B"/>
    <w:rsid w:val="0C4D5331"/>
    <w:rsid w:val="0CD90840"/>
    <w:rsid w:val="0DD85D97"/>
    <w:rsid w:val="0E69216E"/>
    <w:rsid w:val="0E8608DA"/>
    <w:rsid w:val="0E9335A1"/>
    <w:rsid w:val="0E985F8D"/>
    <w:rsid w:val="0EAE651A"/>
    <w:rsid w:val="0F314261"/>
    <w:rsid w:val="0F674DBC"/>
    <w:rsid w:val="0FCF0C79"/>
    <w:rsid w:val="0FD95AE2"/>
    <w:rsid w:val="120831FD"/>
    <w:rsid w:val="12651838"/>
    <w:rsid w:val="12697069"/>
    <w:rsid w:val="127048FF"/>
    <w:rsid w:val="13007D02"/>
    <w:rsid w:val="13F82AAE"/>
    <w:rsid w:val="145C7F07"/>
    <w:rsid w:val="147511B5"/>
    <w:rsid w:val="1503315D"/>
    <w:rsid w:val="151535ED"/>
    <w:rsid w:val="151E7340"/>
    <w:rsid w:val="15897CE9"/>
    <w:rsid w:val="15A65839"/>
    <w:rsid w:val="15BA5F55"/>
    <w:rsid w:val="160C2FEF"/>
    <w:rsid w:val="164C7DB2"/>
    <w:rsid w:val="16D273D4"/>
    <w:rsid w:val="175137F5"/>
    <w:rsid w:val="17B054A9"/>
    <w:rsid w:val="17C36BDF"/>
    <w:rsid w:val="18201A23"/>
    <w:rsid w:val="18477776"/>
    <w:rsid w:val="18556E7E"/>
    <w:rsid w:val="187854AD"/>
    <w:rsid w:val="1A980B7C"/>
    <w:rsid w:val="1AA97A92"/>
    <w:rsid w:val="1B115C11"/>
    <w:rsid w:val="1B2919EB"/>
    <w:rsid w:val="1B6202FA"/>
    <w:rsid w:val="1BC058E2"/>
    <w:rsid w:val="1CB15A1E"/>
    <w:rsid w:val="1D575FE9"/>
    <w:rsid w:val="1D601CBD"/>
    <w:rsid w:val="1DA20F76"/>
    <w:rsid w:val="1E157C9A"/>
    <w:rsid w:val="1E546F33"/>
    <w:rsid w:val="1E780D78"/>
    <w:rsid w:val="1E9E0908"/>
    <w:rsid w:val="1EFF2C13"/>
    <w:rsid w:val="1F4455D9"/>
    <w:rsid w:val="20020027"/>
    <w:rsid w:val="206A174A"/>
    <w:rsid w:val="2085668B"/>
    <w:rsid w:val="20F5135D"/>
    <w:rsid w:val="21143C80"/>
    <w:rsid w:val="2151766D"/>
    <w:rsid w:val="215419C4"/>
    <w:rsid w:val="21622232"/>
    <w:rsid w:val="221F2076"/>
    <w:rsid w:val="22496891"/>
    <w:rsid w:val="22BA318B"/>
    <w:rsid w:val="22C11E5A"/>
    <w:rsid w:val="23272DD7"/>
    <w:rsid w:val="233E0D3B"/>
    <w:rsid w:val="23DD4B5E"/>
    <w:rsid w:val="24915BCE"/>
    <w:rsid w:val="24B2234C"/>
    <w:rsid w:val="26016F3E"/>
    <w:rsid w:val="2641615F"/>
    <w:rsid w:val="268C65ED"/>
    <w:rsid w:val="26A23821"/>
    <w:rsid w:val="26C04DC0"/>
    <w:rsid w:val="27512F17"/>
    <w:rsid w:val="276D6F37"/>
    <w:rsid w:val="27747567"/>
    <w:rsid w:val="281B43E1"/>
    <w:rsid w:val="28C77318"/>
    <w:rsid w:val="29D71A1C"/>
    <w:rsid w:val="2A2C2562"/>
    <w:rsid w:val="2A6401BC"/>
    <w:rsid w:val="2AAB301D"/>
    <w:rsid w:val="2B016D4D"/>
    <w:rsid w:val="2B883374"/>
    <w:rsid w:val="2BAB3EA1"/>
    <w:rsid w:val="2C8942F1"/>
    <w:rsid w:val="2CDA58D2"/>
    <w:rsid w:val="2D4C4E74"/>
    <w:rsid w:val="2D66340A"/>
    <w:rsid w:val="2DC03122"/>
    <w:rsid w:val="2DD7186D"/>
    <w:rsid w:val="2E24576A"/>
    <w:rsid w:val="2EB043A4"/>
    <w:rsid w:val="2EF50CB5"/>
    <w:rsid w:val="2F0079EF"/>
    <w:rsid w:val="2F017616"/>
    <w:rsid w:val="2F0A0E13"/>
    <w:rsid w:val="2F190D9A"/>
    <w:rsid w:val="2F4968D2"/>
    <w:rsid w:val="2F7A474F"/>
    <w:rsid w:val="2F922445"/>
    <w:rsid w:val="2FCE7A58"/>
    <w:rsid w:val="30391DC8"/>
    <w:rsid w:val="303D3DDC"/>
    <w:rsid w:val="30536765"/>
    <w:rsid w:val="30736049"/>
    <w:rsid w:val="30924DFA"/>
    <w:rsid w:val="30DD24F2"/>
    <w:rsid w:val="3103507E"/>
    <w:rsid w:val="315611F5"/>
    <w:rsid w:val="31DF40CA"/>
    <w:rsid w:val="31F22D83"/>
    <w:rsid w:val="31F73978"/>
    <w:rsid w:val="3215094C"/>
    <w:rsid w:val="323F134A"/>
    <w:rsid w:val="323F5CDF"/>
    <w:rsid w:val="326D11DD"/>
    <w:rsid w:val="32D20C61"/>
    <w:rsid w:val="3328754B"/>
    <w:rsid w:val="337940F0"/>
    <w:rsid w:val="337F4E96"/>
    <w:rsid w:val="339C0F02"/>
    <w:rsid w:val="340C2F22"/>
    <w:rsid w:val="34ED3D87"/>
    <w:rsid w:val="34FB3CDF"/>
    <w:rsid w:val="353D3648"/>
    <w:rsid w:val="355D12F6"/>
    <w:rsid w:val="35DB120A"/>
    <w:rsid w:val="35F84370"/>
    <w:rsid w:val="36295616"/>
    <w:rsid w:val="363B5BD8"/>
    <w:rsid w:val="365F29FE"/>
    <w:rsid w:val="368B4D3D"/>
    <w:rsid w:val="36CD2D4D"/>
    <w:rsid w:val="36D276FE"/>
    <w:rsid w:val="37090F87"/>
    <w:rsid w:val="37411706"/>
    <w:rsid w:val="379F496B"/>
    <w:rsid w:val="37A86F97"/>
    <w:rsid w:val="37C22C50"/>
    <w:rsid w:val="37EA1649"/>
    <w:rsid w:val="38024AA4"/>
    <w:rsid w:val="38193984"/>
    <w:rsid w:val="3913220F"/>
    <w:rsid w:val="392064B9"/>
    <w:rsid w:val="39BD2849"/>
    <w:rsid w:val="39CB61E4"/>
    <w:rsid w:val="39D52A32"/>
    <w:rsid w:val="39EF2E45"/>
    <w:rsid w:val="39F57D01"/>
    <w:rsid w:val="39F93AEA"/>
    <w:rsid w:val="3A194458"/>
    <w:rsid w:val="3A593A6E"/>
    <w:rsid w:val="3A5F0234"/>
    <w:rsid w:val="3AD80111"/>
    <w:rsid w:val="3AD97140"/>
    <w:rsid w:val="3ADF2BB5"/>
    <w:rsid w:val="3B2B03C4"/>
    <w:rsid w:val="3B4B78CD"/>
    <w:rsid w:val="3BB32B34"/>
    <w:rsid w:val="3BE64445"/>
    <w:rsid w:val="3C7A210B"/>
    <w:rsid w:val="3CE82C7F"/>
    <w:rsid w:val="3DE45652"/>
    <w:rsid w:val="3E422CBC"/>
    <w:rsid w:val="3E7A089B"/>
    <w:rsid w:val="3EB33CFC"/>
    <w:rsid w:val="3EB8741A"/>
    <w:rsid w:val="3FC341C6"/>
    <w:rsid w:val="402F37F0"/>
    <w:rsid w:val="403E3327"/>
    <w:rsid w:val="407224CF"/>
    <w:rsid w:val="40B65641"/>
    <w:rsid w:val="41353CC9"/>
    <w:rsid w:val="41B078F2"/>
    <w:rsid w:val="41D3192A"/>
    <w:rsid w:val="41D65B01"/>
    <w:rsid w:val="42070858"/>
    <w:rsid w:val="422F78F1"/>
    <w:rsid w:val="42376FFF"/>
    <w:rsid w:val="42761A5D"/>
    <w:rsid w:val="42C85CB7"/>
    <w:rsid w:val="431D4109"/>
    <w:rsid w:val="43483B4F"/>
    <w:rsid w:val="43505F2F"/>
    <w:rsid w:val="43736DF9"/>
    <w:rsid w:val="43940D59"/>
    <w:rsid w:val="43963675"/>
    <w:rsid w:val="43BD3E98"/>
    <w:rsid w:val="43EB52D1"/>
    <w:rsid w:val="4413382E"/>
    <w:rsid w:val="44885DE6"/>
    <w:rsid w:val="44D61261"/>
    <w:rsid w:val="45193CC6"/>
    <w:rsid w:val="45315F1F"/>
    <w:rsid w:val="45A2287A"/>
    <w:rsid w:val="45C431F7"/>
    <w:rsid w:val="45D04CCF"/>
    <w:rsid w:val="467D625D"/>
    <w:rsid w:val="468B7670"/>
    <w:rsid w:val="46A905CD"/>
    <w:rsid w:val="46F30580"/>
    <w:rsid w:val="470934F5"/>
    <w:rsid w:val="474E50C9"/>
    <w:rsid w:val="47D54FEF"/>
    <w:rsid w:val="48665390"/>
    <w:rsid w:val="487553B5"/>
    <w:rsid w:val="487E66C7"/>
    <w:rsid w:val="48FD5730"/>
    <w:rsid w:val="49E449E2"/>
    <w:rsid w:val="4A707F15"/>
    <w:rsid w:val="4AE56FA7"/>
    <w:rsid w:val="4B417743"/>
    <w:rsid w:val="4B6A5919"/>
    <w:rsid w:val="4BF26BF6"/>
    <w:rsid w:val="4C0841DD"/>
    <w:rsid w:val="4C6439C4"/>
    <w:rsid w:val="4C7F4D97"/>
    <w:rsid w:val="4C8A06CE"/>
    <w:rsid w:val="4CC624B4"/>
    <w:rsid w:val="4CCF2BB1"/>
    <w:rsid w:val="4CD37591"/>
    <w:rsid w:val="4DEE0CD1"/>
    <w:rsid w:val="4E0B7EEB"/>
    <w:rsid w:val="4E202EBA"/>
    <w:rsid w:val="4E785803"/>
    <w:rsid w:val="4EB054B6"/>
    <w:rsid w:val="4EBD394D"/>
    <w:rsid w:val="4EFC13B4"/>
    <w:rsid w:val="4F397AD6"/>
    <w:rsid w:val="4FDC7D87"/>
    <w:rsid w:val="50126BA1"/>
    <w:rsid w:val="503F0145"/>
    <w:rsid w:val="508B2832"/>
    <w:rsid w:val="50C33E67"/>
    <w:rsid w:val="50C654FA"/>
    <w:rsid w:val="51171A4D"/>
    <w:rsid w:val="51496C0F"/>
    <w:rsid w:val="5195309D"/>
    <w:rsid w:val="51A1402E"/>
    <w:rsid w:val="52190DD6"/>
    <w:rsid w:val="525F75E2"/>
    <w:rsid w:val="52B314DB"/>
    <w:rsid w:val="535E472A"/>
    <w:rsid w:val="535F2F58"/>
    <w:rsid w:val="537F7C9D"/>
    <w:rsid w:val="53B504FD"/>
    <w:rsid w:val="53BF014C"/>
    <w:rsid w:val="53C163B5"/>
    <w:rsid w:val="53C74061"/>
    <w:rsid w:val="53D53BFC"/>
    <w:rsid w:val="53D7013D"/>
    <w:rsid w:val="54015A46"/>
    <w:rsid w:val="5413110F"/>
    <w:rsid w:val="542E147A"/>
    <w:rsid w:val="54503E98"/>
    <w:rsid w:val="54C664C3"/>
    <w:rsid w:val="54DA421D"/>
    <w:rsid w:val="551864E8"/>
    <w:rsid w:val="5523053B"/>
    <w:rsid w:val="55672E42"/>
    <w:rsid w:val="560E5F1C"/>
    <w:rsid w:val="562B66E0"/>
    <w:rsid w:val="5648008C"/>
    <w:rsid w:val="566B6620"/>
    <w:rsid w:val="56A66E8A"/>
    <w:rsid w:val="56E27F83"/>
    <w:rsid w:val="56E36C39"/>
    <w:rsid w:val="56EE4FE0"/>
    <w:rsid w:val="570B187E"/>
    <w:rsid w:val="57683535"/>
    <w:rsid w:val="57941214"/>
    <w:rsid w:val="57D331AC"/>
    <w:rsid w:val="57EC27C8"/>
    <w:rsid w:val="58253A1C"/>
    <w:rsid w:val="585B7D62"/>
    <w:rsid w:val="590D2D23"/>
    <w:rsid w:val="5918450B"/>
    <w:rsid w:val="59240838"/>
    <w:rsid w:val="594A0D0E"/>
    <w:rsid w:val="5991539B"/>
    <w:rsid w:val="59BE3FB5"/>
    <w:rsid w:val="5A6B4E08"/>
    <w:rsid w:val="5AB527D9"/>
    <w:rsid w:val="5ABD35C7"/>
    <w:rsid w:val="5B051053"/>
    <w:rsid w:val="5B3A3B01"/>
    <w:rsid w:val="5B5A4D60"/>
    <w:rsid w:val="5BA37955"/>
    <w:rsid w:val="5BBA0033"/>
    <w:rsid w:val="5C666A5D"/>
    <w:rsid w:val="5C697582"/>
    <w:rsid w:val="5D1032BE"/>
    <w:rsid w:val="5D2D2D74"/>
    <w:rsid w:val="5D323895"/>
    <w:rsid w:val="5D3B08D2"/>
    <w:rsid w:val="5D5921EF"/>
    <w:rsid w:val="5DDD06E5"/>
    <w:rsid w:val="5E2C252D"/>
    <w:rsid w:val="5E3D49CC"/>
    <w:rsid w:val="5F0C0E36"/>
    <w:rsid w:val="5F484D8D"/>
    <w:rsid w:val="5F8D7613"/>
    <w:rsid w:val="5FA96106"/>
    <w:rsid w:val="5FE1722C"/>
    <w:rsid w:val="600E7690"/>
    <w:rsid w:val="60232491"/>
    <w:rsid w:val="606938A9"/>
    <w:rsid w:val="606A679F"/>
    <w:rsid w:val="60862526"/>
    <w:rsid w:val="60A13198"/>
    <w:rsid w:val="60AA14A4"/>
    <w:rsid w:val="60E5716F"/>
    <w:rsid w:val="614978FD"/>
    <w:rsid w:val="621F0D19"/>
    <w:rsid w:val="62ED5E34"/>
    <w:rsid w:val="63122EEA"/>
    <w:rsid w:val="631861F7"/>
    <w:rsid w:val="6449757A"/>
    <w:rsid w:val="656A6F55"/>
    <w:rsid w:val="65941979"/>
    <w:rsid w:val="668E7BDF"/>
    <w:rsid w:val="669259B3"/>
    <w:rsid w:val="676B3F3D"/>
    <w:rsid w:val="67B87B89"/>
    <w:rsid w:val="67DE2016"/>
    <w:rsid w:val="67F55CF4"/>
    <w:rsid w:val="67F64703"/>
    <w:rsid w:val="682972F9"/>
    <w:rsid w:val="6883737D"/>
    <w:rsid w:val="68890C27"/>
    <w:rsid w:val="69116EBA"/>
    <w:rsid w:val="69560E1E"/>
    <w:rsid w:val="69801DFC"/>
    <w:rsid w:val="69F948D5"/>
    <w:rsid w:val="6B026BA0"/>
    <w:rsid w:val="6B21172D"/>
    <w:rsid w:val="6B2B4762"/>
    <w:rsid w:val="6BC73138"/>
    <w:rsid w:val="6C353371"/>
    <w:rsid w:val="6C5000C7"/>
    <w:rsid w:val="6C5C6456"/>
    <w:rsid w:val="6C970119"/>
    <w:rsid w:val="6C9A54BB"/>
    <w:rsid w:val="6CB17704"/>
    <w:rsid w:val="6D613334"/>
    <w:rsid w:val="6DAC4CA3"/>
    <w:rsid w:val="6E0819B7"/>
    <w:rsid w:val="6E5D3280"/>
    <w:rsid w:val="6E961019"/>
    <w:rsid w:val="6ED54BB5"/>
    <w:rsid w:val="6F202DDD"/>
    <w:rsid w:val="6F3004DE"/>
    <w:rsid w:val="6F5632B7"/>
    <w:rsid w:val="6FFC4B18"/>
    <w:rsid w:val="7019453C"/>
    <w:rsid w:val="70620C50"/>
    <w:rsid w:val="709E51DF"/>
    <w:rsid w:val="712B2E11"/>
    <w:rsid w:val="717C028C"/>
    <w:rsid w:val="7194393D"/>
    <w:rsid w:val="729A265E"/>
    <w:rsid w:val="72FA5337"/>
    <w:rsid w:val="7344385A"/>
    <w:rsid w:val="735C09CF"/>
    <w:rsid w:val="73BB6B92"/>
    <w:rsid w:val="740918BC"/>
    <w:rsid w:val="74245F5F"/>
    <w:rsid w:val="74561315"/>
    <w:rsid w:val="74C9150D"/>
    <w:rsid w:val="75114564"/>
    <w:rsid w:val="7568778A"/>
    <w:rsid w:val="75AD03BF"/>
    <w:rsid w:val="75B93F66"/>
    <w:rsid w:val="76021E94"/>
    <w:rsid w:val="762F0C47"/>
    <w:rsid w:val="76403AB3"/>
    <w:rsid w:val="765A17C4"/>
    <w:rsid w:val="7683761F"/>
    <w:rsid w:val="76BE0B11"/>
    <w:rsid w:val="76C85AE2"/>
    <w:rsid w:val="76DB0C1F"/>
    <w:rsid w:val="76EA6025"/>
    <w:rsid w:val="7703405E"/>
    <w:rsid w:val="7874345C"/>
    <w:rsid w:val="787C441A"/>
    <w:rsid w:val="78961EEB"/>
    <w:rsid w:val="797B1180"/>
    <w:rsid w:val="79986827"/>
    <w:rsid w:val="7A66341E"/>
    <w:rsid w:val="7ACF381A"/>
    <w:rsid w:val="7AD75C09"/>
    <w:rsid w:val="7B200EBF"/>
    <w:rsid w:val="7B964620"/>
    <w:rsid w:val="7C24192A"/>
    <w:rsid w:val="7C2B7601"/>
    <w:rsid w:val="7C7A0306"/>
    <w:rsid w:val="7CE6751B"/>
    <w:rsid w:val="7CFC678E"/>
    <w:rsid w:val="7D0C2CE6"/>
    <w:rsid w:val="7D6A4D75"/>
    <w:rsid w:val="7D823D62"/>
    <w:rsid w:val="7D9369CD"/>
    <w:rsid w:val="7DBE0BE8"/>
    <w:rsid w:val="7DD14747"/>
    <w:rsid w:val="7E884D94"/>
    <w:rsid w:val="7E9B6983"/>
    <w:rsid w:val="7EC73B54"/>
    <w:rsid w:val="7EEB5CC3"/>
    <w:rsid w:val="7F140BA1"/>
    <w:rsid w:val="7F2F42B4"/>
    <w:rsid w:val="7F645E9A"/>
    <w:rsid w:val="7F8309C2"/>
    <w:rsid w:val="7FA638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qFormat="1" w:unhideWhenUsed="0"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right" w:pos="8640"/>
      </w:tabs>
      <w:spacing w:line="288" w:lineRule="auto"/>
      <w:ind w:firstLine="400" w:firstLineChars="400"/>
      <w:jc w:val="both"/>
    </w:pPr>
    <w:rPr>
      <w:rFonts w:ascii="Arial" w:hAnsi="Arial" w:eastAsia="宋体" w:cs="Arial"/>
      <w:spacing w:val="-2"/>
      <w:sz w:val="24"/>
      <w:szCs w:val="24"/>
      <w:lang w:val="en-US" w:eastAsia="zh-CN" w:bidi="ar-SA"/>
    </w:rPr>
  </w:style>
  <w:style w:type="paragraph" w:styleId="2">
    <w:name w:val="heading 1"/>
    <w:basedOn w:val="1"/>
    <w:next w:val="3"/>
    <w:link w:val="32"/>
    <w:qFormat/>
    <w:uiPriority w:val="99"/>
    <w:pPr>
      <w:keepNext/>
      <w:spacing w:line="720" w:lineRule="auto"/>
      <w:ind w:firstLine="0" w:firstLineChars="0"/>
      <w:jc w:val="center"/>
      <w:outlineLvl w:val="0"/>
    </w:pPr>
    <w:rPr>
      <w:rFonts w:ascii="Arial" w:hAnsi="Arial" w:eastAsia="黑体"/>
      <w:bCs/>
      <w:sz w:val="32"/>
      <w:szCs w:val="20"/>
    </w:rPr>
  </w:style>
  <w:style w:type="paragraph" w:styleId="4">
    <w:name w:val="heading 2"/>
    <w:basedOn w:val="1"/>
    <w:next w:val="1"/>
    <w:link w:val="33"/>
    <w:qFormat/>
    <w:uiPriority w:val="99"/>
    <w:pPr>
      <w:keepNext/>
      <w:keepLines/>
      <w:spacing w:line="360" w:lineRule="auto"/>
      <w:ind w:firstLine="472" w:firstLineChars="200"/>
      <w:outlineLvl w:val="1"/>
    </w:pPr>
    <w:rPr>
      <w:rFonts w:ascii="等线 Light" w:hAnsi="等线 Light" w:eastAsia="黑体" w:cs="等线 Light"/>
      <w:bCs/>
      <w:sz w:val="30"/>
      <w:szCs w:val="32"/>
    </w:rPr>
  </w:style>
  <w:style w:type="paragraph" w:styleId="5">
    <w:name w:val="heading 3"/>
    <w:basedOn w:val="1"/>
    <w:next w:val="1"/>
    <w:link w:val="34"/>
    <w:qFormat/>
    <w:uiPriority w:val="99"/>
    <w:pPr>
      <w:keepNext/>
      <w:keepLines/>
      <w:spacing w:line="360" w:lineRule="auto"/>
      <w:ind w:firstLine="472" w:firstLineChars="200"/>
      <w:outlineLvl w:val="2"/>
    </w:pPr>
    <w:rPr>
      <w:rFonts w:ascii="Arial" w:hAnsi="Arial" w:eastAsia="黑体"/>
      <w:bCs/>
      <w:sz w:val="28"/>
      <w:szCs w:val="32"/>
    </w:rPr>
  </w:style>
  <w:style w:type="paragraph" w:styleId="6">
    <w:name w:val="heading 4"/>
    <w:basedOn w:val="1"/>
    <w:next w:val="1"/>
    <w:link w:val="35"/>
    <w:qFormat/>
    <w:uiPriority w:val="99"/>
    <w:pPr>
      <w:keepNext/>
      <w:keepLines/>
      <w:spacing w:before="280" w:after="290" w:line="376" w:lineRule="auto"/>
      <w:outlineLvl w:val="3"/>
    </w:pPr>
    <w:rPr>
      <w:rFonts w:ascii="等线 Light" w:hAnsi="等线 Light" w:eastAsia="等线 Light" w:cs="等线 Light"/>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36"/>
    <w:qFormat/>
    <w:uiPriority w:val="99"/>
    <w:pPr>
      <w:spacing w:after="280" w:line="360" w:lineRule="auto"/>
    </w:pPr>
    <w:rPr>
      <w:sz w:val="20"/>
      <w:szCs w:val="20"/>
    </w:rPr>
  </w:style>
  <w:style w:type="paragraph" w:styleId="7">
    <w:name w:val="toc 7"/>
    <w:basedOn w:val="1"/>
    <w:next w:val="1"/>
    <w:semiHidden/>
    <w:qFormat/>
    <w:uiPriority w:val="99"/>
    <w:pPr>
      <w:tabs>
        <w:tab w:val="clear" w:pos="8640"/>
      </w:tabs>
      <w:ind w:left="1440"/>
      <w:jc w:val="left"/>
    </w:pPr>
    <w:rPr>
      <w:rFonts w:ascii="等线" w:eastAsia="等线" w:cs="等线"/>
      <w:sz w:val="18"/>
      <w:szCs w:val="18"/>
    </w:rPr>
  </w:style>
  <w:style w:type="paragraph" w:styleId="8">
    <w:name w:val="annotation text"/>
    <w:basedOn w:val="1"/>
    <w:link w:val="37"/>
    <w:semiHidden/>
    <w:qFormat/>
    <w:uiPriority w:val="99"/>
    <w:pPr>
      <w:tabs>
        <w:tab w:val="left" w:pos="187"/>
        <w:tab w:val="clear" w:pos="8640"/>
      </w:tabs>
      <w:spacing w:after="120" w:line="220" w:lineRule="exact"/>
      <w:ind w:left="187" w:hanging="187"/>
    </w:pPr>
    <w:rPr>
      <w:sz w:val="20"/>
      <w:szCs w:val="20"/>
    </w:rPr>
  </w:style>
  <w:style w:type="paragraph" w:styleId="9">
    <w:name w:val="toc 5"/>
    <w:basedOn w:val="1"/>
    <w:next w:val="1"/>
    <w:semiHidden/>
    <w:qFormat/>
    <w:uiPriority w:val="99"/>
    <w:pPr>
      <w:tabs>
        <w:tab w:val="clear" w:pos="8640"/>
      </w:tabs>
      <w:ind w:left="960"/>
      <w:jc w:val="left"/>
    </w:pPr>
    <w:rPr>
      <w:rFonts w:ascii="等线" w:eastAsia="等线" w:cs="等线"/>
      <w:sz w:val="18"/>
      <w:szCs w:val="18"/>
    </w:rPr>
  </w:style>
  <w:style w:type="paragraph" w:styleId="10">
    <w:name w:val="toc 3"/>
    <w:basedOn w:val="1"/>
    <w:next w:val="1"/>
    <w:semiHidden/>
    <w:qFormat/>
    <w:uiPriority w:val="99"/>
    <w:pPr>
      <w:tabs>
        <w:tab w:val="clear" w:pos="8640"/>
      </w:tabs>
      <w:ind w:left="480"/>
      <w:jc w:val="left"/>
    </w:pPr>
    <w:rPr>
      <w:rFonts w:ascii="等线" w:eastAsia="等线" w:cs="等线"/>
      <w:i/>
      <w:iCs/>
      <w:sz w:val="20"/>
      <w:szCs w:val="20"/>
    </w:rPr>
  </w:style>
  <w:style w:type="paragraph" w:styleId="11">
    <w:name w:val="Plain Text"/>
    <w:basedOn w:val="1"/>
    <w:qFormat/>
    <w:uiPriority w:val="0"/>
    <w:rPr>
      <w:rFonts w:ascii="宋体" w:hAnsi="Courier New" w:cs="Courier New"/>
      <w:szCs w:val="21"/>
    </w:rPr>
  </w:style>
  <w:style w:type="paragraph" w:styleId="12">
    <w:name w:val="toc 8"/>
    <w:basedOn w:val="1"/>
    <w:next w:val="1"/>
    <w:semiHidden/>
    <w:qFormat/>
    <w:uiPriority w:val="99"/>
    <w:pPr>
      <w:tabs>
        <w:tab w:val="clear" w:pos="8640"/>
      </w:tabs>
      <w:ind w:left="1680"/>
      <w:jc w:val="left"/>
    </w:pPr>
    <w:rPr>
      <w:rFonts w:ascii="等线" w:eastAsia="等线" w:cs="等线"/>
      <w:sz w:val="18"/>
      <w:szCs w:val="18"/>
    </w:rPr>
  </w:style>
  <w:style w:type="paragraph" w:styleId="13">
    <w:name w:val="Balloon Text"/>
    <w:basedOn w:val="1"/>
    <w:link w:val="38"/>
    <w:semiHidden/>
    <w:qFormat/>
    <w:uiPriority w:val="99"/>
    <w:pPr>
      <w:spacing w:line="240" w:lineRule="auto"/>
    </w:pPr>
    <w:rPr>
      <w:sz w:val="18"/>
      <w:szCs w:val="18"/>
    </w:rPr>
  </w:style>
  <w:style w:type="paragraph" w:styleId="14">
    <w:name w:val="footer"/>
    <w:basedOn w:val="1"/>
    <w:link w:val="42"/>
    <w:qFormat/>
    <w:uiPriority w:val="99"/>
    <w:pPr>
      <w:tabs>
        <w:tab w:val="center" w:pos="4153"/>
        <w:tab w:val="right" w:pos="8306"/>
        <w:tab w:val="clear" w:pos="8640"/>
      </w:tabs>
      <w:snapToGrid w:val="0"/>
      <w:spacing w:line="240" w:lineRule="auto"/>
      <w:jc w:val="left"/>
    </w:pPr>
    <w:rPr>
      <w:sz w:val="18"/>
      <w:szCs w:val="18"/>
    </w:rPr>
  </w:style>
  <w:style w:type="paragraph" w:styleId="15">
    <w:name w:val="header"/>
    <w:basedOn w:val="1"/>
    <w:link w:val="41"/>
    <w:qFormat/>
    <w:uiPriority w:val="99"/>
    <w:pPr>
      <w:pBdr>
        <w:bottom w:val="single" w:color="auto" w:sz="6" w:space="1"/>
      </w:pBdr>
      <w:tabs>
        <w:tab w:val="center" w:pos="4153"/>
        <w:tab w:val="right" w:pos="8306"/>
        <w:tab w:val="clear" w:pos="8640"/>
      </w:tabs>
      <w:snapToGrid w:val="0"/>
      <w:spacing w:line="240" w:lineRule="auto"/>
      <w:jc w:val="center"/>
    </w:pPr>
    <w:rPr>
      <w:sz w:val="18"/>
      <w:szCs w:val="18"/>
    </w:rPr>
  </w:style>
  <w:style w:type="paragraph" w:styleId="16">
    <w:name w:val="toc 1"/>
    <w:basedOn w:val="1"/>
    <w:next w:val="1"/>
    <w:semiHidden/>
    <w:qFormat/>
    <w:uiPriority w:val="99"/>
    <w:pPr>
      <w:tabs>
        <w:tab w:val="right" w:leader="dot" w:pos="8296"/>
        <w:tab w:val="clear" w:pos="8640"/>
      </w:tabs>
      <w:spacing w:before="120" w:after="120"/>
      <w:ind w:firstLine="0" w:firstLineChars="0"/>
      <w:jc w:val="left"/>
    </w:pPr>
    <w:rPr>
      <w:rFonts w:ascii="宋体" w:hAnsi="宋体" w:cs="宋体"/>
      <w:caps/>
    </w:rPr>
  </w:style>
  <w:style w:type="paragraph" w:styleId="17">
    <w:name w:val="toc 4"/>
    <w:basedOn w:val="1"/>
    <w:next w:val="1"/>
    <w:semiHidden/>
    <w:qFormat/>
    <w:uiPriority w:val="99"/>
    <w:pPr>
      <w:tabs>
        <w:tab w:val="clear" w:pos="8640"/>
      </w:tabs>
      <w:ind w:left="720"/>
      <w:jc w:val="left"/>
    </w:pPr>
    <w:rPr>
      <w:rFonts w:ascii="等线" w:eastAsia="等线" w:cs="等线"/>
      <w:sz w:val="18"/>
      <w:szCs w:val="18"/>
    </w:rPr>
  </w:style>
  <w:style w:type="paragraph" w:styleId="18">
    <w:name w:val="toc 6"/>
    <w:basedOn w:val="1"/>
    <w:next w:val="1"/>
    <w:semiHidden/>
    <w:qFormat/>
    <w:uiPriority w:val="99"/>
    <w:pPr>
      <w:tabs>
        <w:tab w:val="clear" w:pos="8640"/>
      </w:tabs>
      <w:ind w:left="1200"/>
      <w:jc w:val="left"/>
    </w:pPr>
    <w:rPr>
      <w:rFonts w:ascii="等线" w:eastAsia="等线" w:cs="等线"/>
      <w:sz w:val="18"/>
      <w:szCs w:val="18"/>
    </w:rPr>
  </w:style>
  <w:style w:type="paragraph" w:styleId="19">
    <w:name w:val="table of figures"/>
    <w:basedOn w:val="1"/>
    <w:next w:val="1"/>
    <w:semiHidden/>
    <w:qFormat/>
    <w:uiPriority w:val="99"/>
    <w:pPr>
      <w:tabs>
        <w:tab w:val="clear" w:pos="8640"/>
      </w:tabs>
      <w:ind w:left="200" w:leftChars="200" w:hanging="200" w:hangingChars="200"/>
    </w:pPr>
  </w:style>
  <w:style w:type="paragraph" w:styleId="20">
    <w:name w:val="toc 2"/>
    <w:basedOn w:val="1"/>
    <w:next w:val="1"/>
    <w:semiHidden/>
    <w:qFormat/>
    <w:uiPriority w:val="99"/>
    <w:pPr>
      <w:tabs>
        <w:tab w:val="right" w:leader="dot" w:pos="8296"/>
        <w:tab w:val="clear" w:pos="8640"/>
      </w:tabs>
      <w:ind w:left="238" w:firstLine="480" w:firstLineChars="200"/>
      <w:jc w:val="left"/>
    </w:pPr>
    <w:rPr>
      <w:rFonts w:ascii="等线" w:eastAsia="等线" w:cs="等线"/>
      <w:smallCaps/>
      <w:sz w:val="20"/>
      <w:szCs w:val="20"/>
    </w:rPr>
  </w:style>
  <w:style w:type="paragraph" w:styleId="21">
    <w:name w:val="toc 9"/>
    <w:basedOn w:val="1"/>
    <w:next w:val="1"/>
    <w:semiHidden/>
    <w:qFormat/>
    <w:uiPriority w:val="99"/>
    <w:pPr>
      <w:tabs>
        <w:tab w:val="clear" w:pos="8640"/>
      </w:tabs>
      <w:ind w:left="1920"/>
      <w:jc w:val="left"/>
    </w:pPr>
    <w:rPr>
      <w:rFonts w:ascii="等线" w:eastAsia="等线" w:cs="等线"/>
      <w:sz w:val="18"/>
      <w:szCs w:val="18"/>
    </w:rPr>
  </w:style>
  <w:style w:type="paragraph" w:styleId="22">
    <w:name w:val="HTML Preformatted"/>
    <w:basedOn w:val="1"/>
    <w:link w:val="43"/>
    <w:semiHidden/>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8640"/>
      </w:tabs>
      <w:spacing w:line="240" w:lineRule="auto"/>
      <w:ind w:firstLine="0" w:firstLineChars="0"/>
      <w:jc w:val="left"/>
    </w:pPr>
    <w:rPr>
      <w:rFonts w:ascii="宋体" w:hAnsi="宋体" w:cs="宋体"/>
      <w:spacing w:val="0"/>
    </w:rPr>
  </w:style>
  <w:style w:type="paragraph" w:styleId="2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4">
    <w:name w:val="annotation subject"/>
    <w:basedOn w:val="8"/>
    <w:next w:val="8"/>
    <w:link w:val="44"/>
    <w:semiHidden/>
    <w:qFormat/>
    <w:uiPriority w:val="99"/>
    <w:pPr>
      <w:tabs>
        <w:tab w:val="right" w:pos="8640"/>
      </w:tabs>
      <w:spacing w:after="0" w:line="288" w:lineRule="auto"/>
      <w:ind w:left="0" w:firstLine="400"/>
      <w:jc w:val="left"/>
    </w:pPr>
    <w:rPr>
      <w:b/>
      <w:bCs/>
    </w:rPr>
  </w:style>
  <w:style w:type="table" w:styleId="26">
    <w:name w:val="Table Grid"/>
    <w:basedOn w:val="25"/>
    <w:qFormat/>
    <w:uiPriority w:val="99"/>
    <w:rPr>
      <w:rFonts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99"/>
    <w:rPr>
      <w:b/>
      <w:bCs/>
    </w:rPr>
  </w:style>
  <w:style w:type="character" w:styleId="29">
    <w:name w:val="page number"/>
    <w:basedOn w:val="27"/>
    <w:qFormat/>
    <w:uiPriority w:val="99"/>
  </w:style>
  <w:style w:type="character" w:styleId="30">
    <w:name w:val="Hyperlink"/>
    <w:qFormat/>
    <w:uiPriority w:val="99"/>
    <w:rPr>
      <w:color w:val="0000FF"/>
      <w:u w:val="single"/>
    </w:rPr>
  </w:style>
  <w:style w:type="character" w:styleId="31">
    <w:name w:val="annotation reference"/>
    <w:semiHidden/>
    <w:qFormat/>
    <w:uiPriority w:val="99"/>
    <w:rPr>
      <w:sz w:val="16"/>
      <w:szCs w:val="16"/>
      <w:lang w:eastAsia="zh-CN"/>
    </w:rPr>
  </w:style>
  <w:style w:type="character" w:customStyle="1" w:styleId="32">
    <w:name w:val="标题 1 字符"/>
    <w:link w:val="2"/>
    <w:qFormat/>
    <w:locked/>
    <w:uiPriority w:val="99"/>
    <w:rPr>
      <w:rFonts w:ascii="Arial" w:hAnsi="Arial" w:eastAsia="黑体" w:cs="Arial"/>
      <w:bCs/>
      <w:spacing w:val="-2"/>
      <w:kern w:val="0"/>
      <w:sz w:val="32"/>
      <w:szCs w:val="20"/>
    </w:rPr>
  </w:style>
  <w:style w:type="character" w:customStyle="1" w:styleId="33">
    <w:name w:val="标题 2 字符"/>
    <w:link w:val="4"/>
    <w:qFormat/>
    <w:locked/>
    <w:uiPriority w:val="99"/>
    <w:rPr>
      <w:rFonts w:ascii="等线 Light" w:hAnsi="等线 Light" w:eastAsia="黑体" w:cs="等线 Light"/>
      <w:bCs/>
      <w:spacing w:val="-2"/>
      <w:kern w:val="0"/>
      <w:sz w:val="30"/>
      <w:szCs w:val="32"/>
    </w:rPr>
  </w:style>
  <w:style w:type="character" w:customStyle="1" w:styleId="34">
    <w:name w:val="标题 3 字符"/>
    <w:link w:val="5"/>
    <w:qFormat/>
    <w:locked/>
    <w:uiPriority w:val="99"/>
    <w:rPr>
      <w:rFonts w:ascii="Arial" w:hAnsi="Arial" w:eastAsia="黑体" w:cs="Arial"/>
      <w:bCs/>
      <w:spacing w:val="-2"/>
      <w:kern w:val="0"/>
      <w:sz w:val="28"/>
      <w:szCs w:val="32"/>
    </w:rPr>
  </w:style>
  <w:style w:type="character" w:customStyle="1" w:styleId="35">
    <w:name w:val="标题 4 字符"/>
    <w:link w:val="6"/>
    <w:qFormat/>
    <w:locked/>
    <w:uiPriority w:val="99"/>
    <w:rPr>
      <w:rFonts w:ascii="等线 Light" w:hAnsi="等线 Light" w:eastAsia="等线 Light" w:cs="等线 Light"/>
      <w:b/>
      <w:bCs/>
      <w:spacing w:val="-2"/>
      <w:kern w:val="0"/>
      <w:sz w:val="28"/>
      <w:szCs w:val="28"/>
    </w:rPr>
  </w:style>
  <w:style w:type="character" w:customStyle="1" w:styleId="36">
    <w:name w:val="正文文本 字符"/>
    <w:link w:val="3"/>
    <w:qFormat/>
    <w:locked/>
    <w:uiPriority w:val="99"/>
    <w:rPr>
      <w:rFonts w:ascii="Arial" w:hAnsi="Arial" w:eastAsia="宋体" w:cs="Arial"/>
      <w:spacing w:val="-2"/>
      <w:kern w:val="0"/>
      <w:sz w:val="20"/>
      <w:szCs w:val="20"/>
    </w:rPr>
  </w:style>
  <w:style w:type="character" w:customStyle="1" w:styleId="37">
    <w:name w:val="批注文字 字符"/>
    <w:link w:val="8"/>
    <w:qFormat/>
    <w:locked/>
    <w:uiPriority w:val="99"/>
    <w:rPr>
      <w:rFonts w:ascii="Arial" w:hAnsi="Arial" w:eastAsia="宋体" w:cs="Arial"/>
      <w:spacing w:val="-2"/>
      <w:kern w:val="0"/>
      <w:sz w:val="20"/>
      <w:szCs w:val="20"/>
    </w:rPr>
  </w:style>
  <w:style w:type="character" w:customStyle="1" w:styleId="38">
    <w:name w:val="批注框文本 字符"/>
    <w:link w:val="13"/>
    <w:semiHidden/>
    <w:qFormat/>
    <w:locked/>
    <w:uiPriority w:val="99"/>
    <w:rPr>
      <w:rFonts w:ascii="Arial" w:hAnsi="Arial" w:eastAsia="宋体" w:cs="Arial"/>
      <w:spacing w:val="-2"/>
      <w:kern w:val="0"/>
      <w:sz w:val="18"/>
      <w:szCs w:val="18"/>
    </w:rPr>
  </w:style>
  <w:style w:type="paragraph" w:styleId="39">
    <w:name w:val="List Paragraph"/>
    <w:basedOn w:val="1"/>
    <w:qFormat/>
    <w:uiPriority w:val="99"/>
    <w:pPr>
      <w:ind w:firstLine="420" w:firstLineChars="200"/>
    </w:pPr>
  </w:style>
  <w:style w:type="paragraph" w:customStyle="1" w:styleId="40">
    <w:name w:val="TOC 标题1"/>
    <w:basedOn w:val="2"/>
    <w:next w:val="1"/>
    <w:qFormat/>
    <w:uiPriority w:val="99"/>
    <w:pPr>
      <w:keepLines/>
      <w:tabs>
        <w:tab w:val="clear" w:pos="8640"/>
      </w:tabs>
      <w:spacing w:before="240" w:line="259" w:lineRule="auto"/>
      <w:ind w:firstLine="0" w:firstLineChars="0"/>
      <w:outlineLvl w:val="9"/>
    </w:pPr>
    <w:rPr>
      <w:rFonts w:ascii="等线 Light" w:hAnsi="等线 Light" w:eastAsia="等线 Light" w:cs="等线 Light"/>
      <w:bCs w:val="0"/>
      <w:color w:val="2F5496"/>
      <w:spacing w:val="0"/>
      <w:sz w:val="32"/>
      <w:szCs w:val="32"/>
    </w:rPr>
  </w:style>
  <w:style w:type="character" w:customStyle="1" w:styleId="41">
    <w:name w:val="页眉 字符"/>
    <w:link w:val="15"/>
    <w:qFormat/>
    <w:locked/>
    <w:uiPriority w:val="99"/>
    <w:rPr>
      <w:rFonts w:ascii="Arial" w:hAnsi="Arial" w:eastAsia="宋体" w:cs="Arial"/>
      <w:spacing w:val="-2"/>
      <w:kern w:val="0"/>
      <w:sz w:val="18"/>
      <w:szCs w:val="18"/>
    </w:rPr>
  </w:style>
  <w:style w:type="character" w:customStyle="1" w:styleId="42">
    <w:name w:val="页脚 字符"/>
    <w:link w:val="14"/>
    <w:qFormat/>
    <w:locked/>
    <w:uiPriority w:val="99"/>
    <w:rPr>
      <w:rFonts w:ascii="Arial" w:hAnsi="Arial" w:eastAsia="宋体" w:cs="Arial"/>
      <w:spacing w:val="-2"/>
      <w:kern w:val="0"/>
      <w:sz w:val="18"/>
      <w:szCs w:val="18"/>
    </w:rPr>
  </w:style>
  <w:style w:type="character" w:customStyle="1" w:styleId="43">
    <w:name w:val="HTML 预设格式 字符"/>
    <w:link w:val="22"/>
    <w:semiHidden/>
    <w:qFormat/>
    <w:locked/>
    <w:uiPriority w:val="99"/>
    <w:rPr>
      <w:rFonts w:ascii="宋体" w:hAnsi="宋体" w:eastAsia="宋体" w:cs="宋体"/>
      <w:kern w:val="0"/>
      <w:sz w:val="24"/>
      <w:szCs w:val="24"/>
    </w:rPr>
  </w:style>
  <w:style w:type="character" w:customStyle="1" w:styleId="44">
    <w:name w:val="批注主题 字符"/>
    <w:link w:val="24"/>
    <w:semiHidden/>
    <w:qFormat/>
    <w:locked/>
    <w:uiPriority w:val="99"/>
    <w:rPr>
      <w:rFonts w:ascii="Arial" w:hAnsi="Arial" w:eastAsia="宋体" w:cs="Arial"/>
      <w:b/>
      <w:bCs/>
      <w:spacing w:val="-2"/>
      <w:kern w:val="0"/>
      <w:sz w:val="20"/>
      <w:szCs w:val="20"/>
    </w:rPr>
  </w:style>
  <w:style w:type="paragraph" w:customStyle="1" w:styleId="45">
    <w:name w:val="WPSOffice手动目录 1"/>
    <w:qFormat/>
    <w:uiPriority w:val="0"/>
    <w:pPr>
      <w:ind w:leftChars="0"/>
    </w:pPr>
    <w:rPr>
      <w:rFonts w:ascii="Times New Roman" w:hAnsi="Times New Roman" w:eastAsia="宋体" w:cs="Times New Roman"/>
      <w:sz w:val="20"/>
      <w:szCs w:val="20"/>
    </w:rPr>
  </w:style>
  <w:style w:type="paragraph" w:customStyle="1" w:styleId="46">
    <w:name w:val="WPSOffice手动目录 2"/>
    <w:qFormat/>
    <w:uiPriority w:val="0"/>
    <w:pPr>
      <w:ind w:leftChars="200"/>
    </w:pPr>
    <w:rPr>
      <w:rFonts w:ascii="Times New Roman" w:hAnsi="Times New Roman" w:eastAsia="宋体" w:cs="Times New Roman"/>
      <w:sz w:val="20"/>
      <w:szCs w:val="20"/>
    </w:rPr>
  </w:style>
  <w:style w:type="paragraph" w:customStyle="1" w:styleId="47">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chart" Target="charts/chart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4.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pieChart>
        <c:varyColors val="1"/>
        <c:ser>
          <c:idx val="0"/>
          <c:order val="0"/>
          <c:tx>
            <c:strRef>
              <c:f>Sheet1!$B$1</c:f>
              <c:strCache>
                <c:ptCount val="1"/>
                <c:pt idx="0">
                  <c:v>存货分类</c:v>
                </c:pt>
              </c:strCache>
            </c:strRef>
          </c:tx>
          <c:spPr/>
          <c:explosion val="0"/>
          <c:dPt>
            <c:idx val="0"/>
            <c:bubble3D val="0"/>
            <c:spPr>
              <a:solidFill>
                <a:schemeClr val="bg1"/>
              </a:solidFill>
              <a:ln w="9525" cap="flat" cmpd="sng" algn="ctr">
                <a:solidFill>
                  <a:schemeClr val="dk1">
                    <a:tint val="88500"/>
                    <a:shade val="95000"/>
                  </a:schemeClr>
                </a:solidFill>
                <a:round/>
              </a:ln>
              <a:effectLst>
                <a:outerShdw blurRad="40000" dist="20000" dir="5400000" rotWithShape="0">
                  <a:srgbClr val="000000">
                    <a:alpha val="38000"/>
                  </a:srgbClr>
                </a:outerShdw>
              </a:effectLst>
            </c:spPr>
          </c:dPt>
          <c:dPt>
            <c:idx val="1"/>
            <c:bubble3D val="0"/>
            <c:spPr>
              <a:solidFill>
                <a:schemeClr val="bg1">
                  <a:lumMod val="85000"/>
                </a:schemeClr>
              </a:solidFill>
              <a:ln w="9525" cap="flat" cmpd="sng" algn="ctr">
                <a:solidFill>
                  <a:schemeClr val="dk1">
                    <a:tint val="55000"/>
                    <a:shade val="95000"/>
                  </a:schemeClr>
                </a:solidFill>
                <a:round/>
              </a:ln>
              <a:effectLst>
                <a:outerShdw blurRad="40000" dist="20000" dir="5400000" rotWithShape="0">
                  <a:srgbClr val="000000">
                    <a:alpha val="38000"/>
                  </a:srgbClr>
                </a:outerShdw>
              </a:effectLst>
            </c:spPr>
          </c:dPt>
          <c:dPt>
            <c:idx val="2"/>
            <c:bubble3D val="0"/>
            <c:spPr>
              <a:solidFill>
                <a:schemeClr val="bg1">
                  <a:lumMod val="65000"/>
                </a:schemeClr>
              </a:solidFill>
              <a:ln w="9525" cap="flat" cmpd="sng" algn="ctr">
                <a:solidFill>
                  <a:schemeClr val="dk1">
                    <a:tint val="75000"/>
                    <a:shade val="95000"/>
                  </a:schemeClr>
                </a:solidFill>
                <a:round/>
              </a:ln>
              <a:effectLst>
                <a:outerShdw blurRad="40000" dist="20000" dir="5400000" rotWithShape="0">
                  <a:srgbClr val="000000">
                    <a:alpha val="38000"/>
                  </a:srgbClr>
                </a:outerShdw>
              </a:effectLst>
            </c:spPr>
          </c:dPt>
          <c:dLbls>
            <c:dLbl>
              <c:idx val="0"/>
              <c:layout>
                <c:manualLayout>
                  <c:x val="-0.0995379013053833"/>
                  <c:y val="0.144938317515239"/>
                </c:manualLayout>
              </c:layout>
              <c:tx>
                <c:rich>
                  <a:bodyPr rot="0" spcFirstLastPara="1" vertOverflow="ellipsis" vert="horz" wrap="square" lIns="38100" tIns="19050" rIns="38100" bIns="19050" anchor="ctr" anchorCtr="1">
                    <a:noAutofit/>
                  </a:bodyPr>
                  <a:lstStyle/>
                  <a:p>
                    <a:pPr defTabSz="914400">
                      <a:defRPr lang="zh-CN" sz="1050" b="0" i="0" u="none" strike="noStrike" kern="1200" baseline="0">
                        <a:solidFill>
                          <a:schemeClr val="tx1">
                            <a:lumMod val="65000"/>
                            <a:lumOff val="35000"/>
                          </a:schemeClr>
                        </a:solidFill>
                        <a:latin typeface="+mn-lt"/>
                        <a:ea typeface="+mn-ea"/>
                        <a:cs typeface="+mn-cs"/>
                      </a:defRPr>
                    </a:pPr>
                    <a:r>
                      <a:rPr sz="1050">
                        <a:solidFill>
                          <a:sysClr val="windowText" lastClr="000000"/>
                        </a:solidFill>
                        <a:latin typeface="Times New Roman" panose="02020603050405020304" charset="0"/>
                        <a:ea typeface="宋体" panose="02010600030101010101" charset="-122"/>
                        <a:cs typeface="Times New Roman" panose="02020603050405020304" charset="0"/>
                      </a:rPr>
                      <a:t>A类15%</a:t>
                    </a:r>
                    <a:endParaRPr sz="1050">
                      <a:solidFill>
                        <a:sysClr val="windowText" lastClr="000000"/>
                      </a:solidFill>
                      <a:latin typeface="Times New Roman" panose="02020603050405020304" charset="0"/>
                      <a:ea typeface="宋体" panose="02010600030101010101" charset="-122"/>
                      <a:cs typeface="Times New Roman" panose="02020603050405020304" charset="0"/>
                    </a:endParaRPr>
                  </a:p>
                </c:rich>
              </c:tx>
              <c:numFmt formatCode="General" sourceLinked="1"/>
              <c:spPr>
                <a:noFill/>
                <a:ln>
                  <a:noFill/>
                </a:ln>
                <a:effectLst/>
              </c:spPr>
              <c:txPr>
                <a:bodyPr rot="0" spcFirstLastPara="1" vertOverflow="ellipsis" vert="horz" wrap="square" lIns="38100" tIns="19050" rIns="38100" bIns="19050" anchor="ctr" anchorCtr="1">
                  <a:noAutofit/>
                </a:bodyPr>
                <a:lstStyle/>
                <a:p>
                  <a:pPr>
                    <a:defRPr lang="zh-CN" sz="1050" b="0" i="0" u="none" strike="noStrike" kern="1200" baseline="0">
                      <a:solidFill>
                        <a:schemeClr val="tx1">
                          <a:lumMod val="65000"/>
                          <a:lumOff val="35000"/>
                        </a:schemeClr>
                      </a:solidFill>
                      <a:latin typeface="+mn-lt"/>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170317894156915"/>
                      <c:h val="0.233184359691195"/>
                    </c:manualLayout>
                  </c15:layout>
                </c:ext>
              </c:extLst>
            </c:dLbl>
            <c:dLbl>
              <c:idx val="1"/>
              <c:layout/>
              <c:tx>
                <c:rich>
                  <a:bodyPr rot="0" spcFirstLastPara="1" vertOverflow="ellipsis" vert="horz" wrap="square" lIns="38100" tIns="19050" rIns="38100" bIns="19050" anchor="ctr" anchorCtr="1"/>
                  <a:lstStyle/>
                  <a:p>
                    <a:pPr defTabSz="914400">
                      <a:defRPr lang="zh-CN" sz="1050" b="0" i="0" u="none" strike="noStrike" kern="1200" baseline="0">
                        <a:solidFill>
                          <a:schemeClr val="tx1">
                            <a:lumMod val="65000"/>
                            <a:lumOff val="35000"/>
                          </a:schemeClr>
                        </a:solidFill>
                        <a:latin typeface="+mn-lt"/>
                        <a:ea typeface="+mn-ea"/>
                        <a:cs typeface="+mn-cs"/>
                      </a:defRPr>
                    </a:pPr>
                    <a:r>
                      <a:rPr sz="1050">
                        <a:solidFill>
                          <a:sysClr val="windowText" lastClr="000000"/>
                        </a:solidFill>
                        <a:latin typeface="Times New Roman" panose="02020603050405020304" charset="0"/>
                        <a:ea typeface="宋体" panose="02010600030101010101" charset="-122"/>
                        <a:cs typeface="Times New Roman" panose="02020603050405020304" charset="0"/>
                      </a:rPr>
                      <a:t>B类25%</a:t>
                    </a:r>
                    <a:endParaRPr sz="1050">
                      <a:solidFill>
                        <a:sysClr val="windowText" lastClr="000000"/>
                      </a:solidFill>
                      <a:latin typeface="Times New Roman" panose="02020603050405020304" charset="0"/>
                      <a:ea typeface="宋体" panose="02010600030101010101" charset="-122"/>
                      <a:cs typeface="Times New Roman" panose="02020603050405020304" charset="0"/>
                    </a:endParaRPr>
                  </a:p>
                </c:rich>
              </c:tx>
              <c:dLblPos val="bestFit"/>
              <c:showLegendKey val="0"/>
              <c:showVal val="0"/>
              <c:showCatName val="1"/>
              <c:showSerName val="0"/>
              <c:showPercent val="1"/>
              <c:showBubbleSize val="0"/>
              <c:separator>
</c:separator>
              <c:extLst>
                <c:ext xmlns:c15="http://schemas.microsoft.com/office/drawing/2012/chart" uri="{CE6537A1-D6FC-4f65-9D91-7224C49458BB}"/>
              </c:extLst>
            </c:dLbl>
            <c:dLbl>
              <c:idx val="2"/>
              <c:layout>
                <c:manualLayout>
                  <c:x val="0.195983547060247"/>
                  <c:y val="-0.122029395272431"/>
                </c:manualLayout>
              </c:layout>
              <c:tx>
                <c:rich>
                  <a:bodyPr rot="0" spcFirstLastPara="1" vertOverflow="ellipsis" vert="horz" wrap="square" lIns="38100" tIns="19050" rIns="38100" bIns="19050" anchor="ctr" anchorCtr="1">
                    <a:noAutofit/>
                  </a:bodyPr>
                  <a:lstStyle/>
                  <a:p>
                    <a:pPr defTabSz="914400">
                      <a:defRPr lang="zh-CN" sz="1050" b="0" i="0" u="none" strike="noStrike" kern="1200" baseline="0">
                        <a:solidFill>
                          <a:schemeClr val="tx1">
                            <a:lumMod val="65000"/>
                            <a:lumOff val="35000"/>
                          </a:schemeClr>
                        </a:solidFill>
                        <a:latin typeface="+mn-lt"/>
                        <a:ea typeface="+mn-ea"/>
                        <a:cs typeface="+mn-cs"/>
                      </a:defRPr>
                    </a:pPr>
                    <a:r>
                      <a:rPr sz="1050">
                        <a:solidFill>
                          <a:sysClr val="windowText" lastClr="000000"/>
                        </a:solidFill>
                        <a:latin typeface="Times New Roman" panose="02020603050405020304" charset="0"/>
                        <a:ea typeface="宋体" panose="02010600030101010101" charset="-122"/>
                        <a:cs typeface="Times New Roman" panose="02020603050405020304" charset="0"/>
                      </a:rPr>
                      <a:t>C类60%</a:t>
                    </a:r>
                    <a:endParaRPr sz="1050">
                      <a:solidFill>
                        <a:sysClr val="windowText" lastClr="000000"/>
                      </a:solidFill>
                      <a:latin typeface="Times New Roman" panose="02020603050405020304" charset="0"/>
                      <a:ea typeface="宋体" panose="02010600030101010101" charset="-122"/>
                      <a:cs typeface="Times New Roman" panose="02020603050405020304" charset="0"/>
                    </a:endParaRPr>
                  </a:p>
                </c:rich>
              </c:tx>
              <c:numFmt formatCode="General" sourceLinked="1"/>
              <c:spPr>
                <a:noFill/>
                <a:ln>
                  <a:noFill/>
                </a:ln>
                <a:effectLst/>
              </c:spPr>
              <c:txPr>
                <a:bodyPr rot="0" spcFirstLastPara="1" vertOverflow="ellipsis" vert="horz" wrap="square" lIns="38100" tIns="19050" rIns="38100" bIns="19050" anchor="ctr" anchorCtr="1">
                  <a:noAutofit/>
                </a:bodyPr>
                <a:lstStyle/>
                <a:p>
                  <a:pPr>
                    <a:defRPr lang="zh-CN" sz="1050" b="0" i="0" u="none" strike="noStrike" kern="1200" baseline="0">
                      <a:solidFill>
                        <a:schemeClr val="tx1">
                          <a:lumMod val="65000"/>
                          <a:lumOff val="35000"/>
                        </a:schemeClr>
                      </a:solidFill>
                      <a:latin typeface="+mn-lt"/>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00791867724303"/>
                      <c:h val="0.404064306952143"/>
                    </c:manualLayout>
                  </c15:layout>
                </c:ext>
              </c:extLst>
            </c:dLbl>
            <c:spPr>
              <a:noFill/>
              <a:ln>
                <a:noFill/>
              </a:ln>
              <a:effectLst/>
            </c:spPr>
            <c:txPr>
              <a:bodyPr rot="0" spcFirstLastPara="1" vertOverflow="ellipsis" vert="horz" wrap="square" lIns="38100" tIns="19050" rIns="38100" bIns="19050" anchor="ctr" anchorCtr="1">
                <a:spAutoFit/>
              </a:bodyPr>
              <a:lstStyle/>
              <a:p>
                <a:pPr>
                  <a:defRPr lang="zh-CN" sz="1050" b="0" i="0" u="none" strike="noStrike" kern="1200" baseline="0">
                    <a:solidFill>
                      <a:schemeClr val="tx1">
                        <a:lumMod val="65000"/>
                        <a:lumOff val="35000"/>
                      </a:schemeClr>
                    </a:solidFill>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Sheet1!$A$2:$A$5</c:f>
              <c:strCache>
                <c:ptCount val="3"/>
                <c:pt idx="0">
                  <c:v>A类</c:v>
                </c:pt>
                <c:pt idx="1">
                  <c:v>B类</c:v>
                </c:pt>
                <c:pt idx="2">
                  <c:v>C类</c:v>
                </c:pt>
              </c:strCache>
            </c:strRef>
          </c:cat>
          <c:val>
            <c:numRef>
              <c:f>Sheet1!$B$2:$B$5</c:f>
              <c:numCache>
                <c:formatCode>0%</c:formatCode>
                <c:ptCount val="3"/>
                <c:pt idx="0">
                  <c:v>0.15</c:v>
                </c:pt>
                <c:pt idx="1">
                  <c:v>0.25</c:v>
                </c:pt>
                <c:pt idx="2">
                  <c:v>0.6</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b"/>
      <c:legendEntry>
        <c:idx val="0"/>
        <c:txPr>
          <a:bodyPr rot="0" spcFirstLastPara="1" vertOverflow="ellipsis" vert="horz" wrap="square" anchor="ctr" anchorCtr="1"/>
          <a:lstStyle/>
          <a:p>
            <a:pPr>
              <a:defRPr lang="zh-CN" sz="1050" b="0" i="0" u="none" strike="noStrike" kern="1200" baseline="0">
                <a:solidFill>
                  <a:schemeClr val="tx1">
                    <a:lumMod val="50000"/>
                    <a:lumOff val="50000"/>
                  </a:schemeClr>
                </a:solidFill>
                <a:latin typeface="+mn-lt"/>
                <a:ea typeface="+mn-ea"/>
                <a:cs typeface="+mn-cs"/>
              </a:defRPr>
            </a:pPr>
          </a:p>
        </c:txPr>
      </c:legendEntry>
      <c:legendEntry>
        <c:idx val="1"/>
        <c:txPr>
          <a:bodyPr rot="0" spcFirstLastPara="1" vertOverflow="ellipsis" vert="horz" wrap="square" anchor="ctr" anchorCtr="1"/>
          <a:lstStyle/>
          <a:p>
            <a:pPr>
              <a:defRPr lang="zh-CN" sz="1050" b="0" i="0" u="none" strike="noStrike" kern="1200" baseline="0">
                <a:solidFill>
                  <a:schemeClr val="tx1">
                    <a:lumMod val="50000"/>
                    <a:lumOff val="50000"/>
                  </a:schemeClr>
                </a:solidFill>
                <a:latin typeface="+mn-lt"/>
                <a:ea typeface="+mn-ea"/>
                <a:cs typeface="+mn-cs"/>
              </a:defRPr>
            </a:pPr>
          </a:p>
        </c:txPr>
      </c:legendEntry>
      <c:legendEntry>
        <c:idx val="2"/>
        <c:txPr>
          <a:bodyPr rot="0" spcFirstLastPara="1" vertOverflow="ellipsis" vert="horz" wrap="square" anchor="ctr" anchorCtr="1"/>
          <a:lstStyle/>
          <a:p>
            <a:pPr>
              <a:defRPr lang="zh-CN" sz="1050" b="0" i="0" u="none" strike="noStrike" kern="1200" baseline="0">
                <a:solidFill>
                  <a:schemeClr val="tx1">
                    <a:lumMod val="50000"/>
                    <a:lumOff val="50000"/>
                  </a:schemeClr>
                </a:solidFill>
                <a:latin typeface="+mn-lt"/>
                <a:ea typeface="+mn-ea"/>
                <a:cs typeface="+mn-cs"/>
              </a:defRPr>
            </a:pPr>
          </a:p>
        </c:txPr>
      </c:legendEntry>
      <c:layout>
        <c:manualLayout>
          <c:xMode val="edge"/>
          <c:yMode val="edge"/>
          <c:x val="0.361538062512745"/>
          <c:y val="0.87610608120239"/>
          <c:w val="0.299502369250824"/>
          <c:h val="0.0772580240941385"/>
        </c:manualLayout>
      </c:layout>
      <c:overlay val="0"/>
      <c:spPr>
        <a:noFill/>
        <a:ln>
          <a:noFill/>
        </a:ln>
        <a:effectLst/>
      </c:spPr>
      <c:txPr>
        <a:bodyPr rot="0" spcFirstLastPara="1" vertOverflow="ellipsis" vert="horz" wrap="square" anchor="ctr" anchorCtr="1"/>
        <a:lstStyle/>
        <a:p>
          <a:pPr>
            <a:defRPr lang="zh-CN" sz="1050" b="0" i="0" u="none" strike="noStrike" kern="1200" baseline="0">
              <a:solidFill>
                <a:schemeClr val="tx1">
                  <a:lumMod val="50000"/>
                  <a:lumOff val="50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sz="1050"/>
      </a:pPr>
    </a:p>
  </c:txPr>
  <c:externalData r:id="rId1">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16755</Words>
  <Characters>20561</Characters>
  <Lines>106</Lines>
  <Paragraphs>30</Paragraphs>
  <TotalTime>26</TotalTime>
  <ScaleCrop>false</ScaleCrop>
  <LinksUpToDate>false</LinksUpToDate>
  <CharactersWithSpaces>21440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2017-04-26T11:22:00Z</dcterms:created>
  <dc:creator>李鸿喆</dc:creator>
  <cp:lastModifiedBy>冯帅琪</cp:lastModifiedBy>
  <cp:lastPrinted>2017-05-02T07:15:00Z</cp:lastPrinted>
  <dcterms:modified xsi:type="dcterms:W3CDTF">2022-09-13T08:37:31Z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2052-11.1.0.12358</vt:lpwstr>
  </property>
  <property fmtid="{D5CDD505-2E9C-101B-9397-08002B2CF9AE}" pid="4" name="ICV">
    <vt:lpwstr>C7546D1CAD544FCA91EA56449C315697</vt:lpwstr>
  </property>
</Properties>
</file>