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52BA" w14:textId="77777777" w:rsidR="00343858" w:rsidRDefault="00343858" w:rsidP="00343858">
      <w:pPr>
        <w:spacing w:after="576"/>
        <w:ind w:left="-5" w:right="2175" w:hanging="10"/>
      </w:pPr>
      <w:r>
        <w:rPr>
          <w:rFonts w:ascii="黑体" w:eastAsia="黑体" w:hAnsi="黑体" w:cs="黑体" w:hint="eastAsia"/>
          <w:sz w:val="32"/>
        </w:rPr>
        <w:t>附件1</w:t>
      </w:r>
    </w:p>
    <w:p w14:paraId="527BAAD2" w14:textId="77777777" w:rsidR="00343858" w:rsidRDefault="00343858" w:rsidP="00343858">
      <w:pPr>
        <w:pStyle w:val="1"/>
        <w:spacing w:after="607"/>
        <w:ind w:left="225" w:right="383"/>
      </w:pPr>
      <w:r>
        <w:rPr>
          <w:rFonts w:hint="eastAsia"/>
        </w:rPr>
        <w:t>河南省教育科学规划2024年度重大课题选题</w:t>
      </w:r>
    </w:p>
    <w:p w14:paraId="6D552C67" w14:textId="77777777" w:rsidR="00343858" w:rsidRDefault="00343858" w:rsidP="00343858">
      <w:pPr>
        <w:spacing w:after="164"/>
        <w:ind w:left="597" w:hanging="10"/>
        <w:rPr>
          <w:rFonts w:hint="eastAsia"/>
        </w:rPr>
      </w:pPr>
      <w:r>
        <w:rPr>
          <w:rFonts w:ascii="仿宋" w:eastAsia="仿宋" w:hAnsi="仿宋" w:cs="仿宋" w:hint="eastAsia"/>
          <w:sz w:val="30"/>
        </w:rPr>
        <w:t>1.健全党对教育强省建设的全面领导体制机制研究</w:t>
      </w:r>
    </w:p>
    <w:p w14:paraId="77955DC1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2.基于河南省人口变化趋势的区域教育结构优化与政策调整研究</w:t>
      </w:r>
    </w:p>
    <w:p w14:paraId="383ABC82" w14:textId="77777777" w:rsidR="00343858" w:rsidRDefault="00343858" w:rsidP="00343858">
      <w:pPr>
        <w:spacing w:after="0" w:line="379" w:lineRule="auto"/>
        <w:ind w:firstLine="602"/>
      </w:pPr>
      <w:r>
        <w:rPr>
          <w:rFonts w:ascii="仿宋" w:eastAsia="仿宋" w:hAnsi="仿宋" w:cs="仿宋" w:hint="eastAsia"/>
          <w:sz w:val="30"/>
        </w:rPr>
        <w:t>3.创新驱动 科教兴省 人才强省协同推进现代化河南建设的机制与路径研究</w:t>
      </w:r>
    </w:p>
    <w:p w14:paraId="405EA9C2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4.高校与省</w:t>
      </w:r>
      <w:proofErr w:type="gramStart"/>
      <w:r>
        <w:rPr>
          <w:rFonts w:ascii="仿宋" w:eastAsia="仿宋" w:hAnsi="仿宋" w:cs="仿宋" w:hint="eastAsia"/>
          <w:sz w:val="30"/>
        </w:rPr>
        <w:t>域重大科创</w:t>
      </w:r>
      <w:proofErr w:type="gramEnd"/>
      <w:r>
        <w:rPr>
          <w:rFonts w:ascii="仿宋" w:eastAsia="仿宋" w:hAnsi="仿宋" w:cs="仿宋" w:hint="eastAsia"/>
          <w:sz w:val="30"/>
        </w:rPr>
        <w:t>平台融通研究</w:t>
      </w:r>
    </w:p>
    <w:p w14:paraId="0AA34BD9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5.河南省拔尖创新人才贯通培养研究</w:t>
      </w:r>
    </w:p>
    <w:p w14:paraId="35A18B8A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6.河南省高标准建设现代产业学院研究</w:t>
      </w:r>
    </w:p>
    <w:p w14:paraId="11730075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7.河南省地方高校高质量发展研究</w:t>
      </w:r>
    </w:p>
    <w:p w14:paraId="03E53B62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8.河南民办高校教学质量提升策略研究</w:t>
      </w:r>
    </w:p>
    <w:p w14:paraId="0C23DEE5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9.“双减”背景</w:t>
      </w:r>
      <w:proofErr w:type="gramStart"/>
      <w:r>
        <w:rPr>
          <w:rFonts w:ascii="仿宋" w:eastAsia="仿宋" w:hAnsi="仿宋" w:cs="仿宋" w:hint="eastAsia"/>
          <w:sz w:val="30"/>
        </w:rPr>
        <w:t>下家校社协同</w:t>
      </w:r>
      <w:proofErr w:type="gramEnd"/>
      <w:r>
        <w:rPr>
          <w:rFonts w:ascii="仿宋" w:eastAsia="仿宋" w:hAnsi="仿宋" w:cs="仿宋" w:hint="eastAsia"/>
          <w:sz w:val="30"/>
        </w:rPr>
        <w:t>育人体系构建研究</w:t>
      </w:r>
    </w:p>
    <w:p w14:paraId="572AA4D2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10.河南省学前教育准公共性政策研究</w:t>
      </w:r>
    </w:p>
    <w:p w14:paraId="1A01FDE2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11.河南省中小学技术工程教育研究</w:t>
      </w:r>
    </w:p>
    <w:p w14:paraId="597588AA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12.优质均衡的县域基本公共教育服务体系构建研究</w:t>
      </w:r>
    </w:p>
    <w:p w14:paraId="0D08B921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lastRenderedPageBreak/>
        <w:t>13.河南省义务教育优质均衡发展监测研究</w:t>
      </w:r>
    </w:p>
    <w:p w14:paraId="22B2D286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14.河南省基础教育集团化办学发展战略研究</w:t>
      </w:r>
    </w:p>
    <w:p w14:paraId="4143269C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15.大中小学筑牢中华民族共同体意识一体化研究</w:t>
      </w:r>
    </w:p>
    <w:p w14:paraId="482D16E6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16.服务于技能型社会河南职业教育创新发展机制与路径研究</w:t>
      </w:r>
    </w:p>
    <w:p w14:paraId="04D4426F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17.职业教育“三融”改革的发展逻辑与实践路径</w:t>
      </w:r>
    </w:p>
    <w:p w14:paraId="5E055DBC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18.高水平大学参与职教专业师资培养问题研究</w:t>
      </w:r>
    </w:p>
    <w:p w14:paraId="0EE9E518" w14:textId="77777777" w:rsidR="00343858" w:rsidRDefault="00343858" w:rsidP="00343858">
      <w:pPr>
        <w:spacing w:after="164"/>
        <w:ind w:left="597" w:hanging="10"/>
      </w:pPr>
      <w:r>
        <w:rPr>
          <w:rFonts w:ascii="仿宋" w:eastAsia="仿宋" w:hAnsi="仿宋" w:cs="仿宋" w:hint="eastAsia"/>
          <w:sz w:val="30"/>
        </w:rPr>
        <w:t>19.现代职业教育体系建设问题研究</w:t>
      </w:r>
    </w:p>
    <w:p w14:paraId="156A9B24" w14:textId="3E067D7F" w:rsidR="00703E34" w:rsidRDefault="00343858" w:rsidP="00343858">
      <w:pPr>
        <w:ind w:firstLineChars="200" w:firstLine="600"/>
      </w:pPr>
      <w:r>
        <w:rPr>
          <w:rFonts w:ascii="仿宋" w:eastAsia="仿宋" w:hAnsi="仿宋" w:cs="仿宋" w:hint="eastAsia"/>
          <w:kern w:val="0"/>
          <w:sz w:val="30"/>
          <w14:ligatures w14:val="none"/>
        </w:rPr>
        <w:t>20.河南省教学名师工作室的运行现况及成效追踪研究</w:t>
      </w:r>
    </w:p>
    <w:sectPr w:rsidR="0070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343858"/>
    <w:rsid w:val="00703E34"/>
    <w:rsid w:val="00C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FE64"/>
  <w15:chartTrackingRefBased/>
  <w15:docId w15:val="{C8181DC7-5383-471C-8617-5857435C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58"/>
    <w:pPr>
      <w:spacing w:after="160" w:line="256" w:lineRule="auto"/>
    </w:pPr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1">
    <w:name w:val="heading 1"/>
    <w:next w:val="a"/>
    <w:link w:val="10"/>
    <w:uiPriority w:val="9"/>
    <w:qFormat/>
    <w:rsid w:val="00343858"/>
    <w:pPr>
      <w:keepNext/>
      <w:keepLines/>
      <w:spacing w:after="91" w:line="256" w:lineRule="auto"/>
      <w:ind w:left="10" w:right="171" w:hanging="10"/>
      <w:jc w:val="center"/>
      <w:outlineLvl w:val="0"/>
    </w:pPr>
    <w:rPr>
      <w:rFonts w:ascii="微软雅黑" w:eastAsia="微软雅黑" w:hAnsi="微软雅黑" w:cs="微软雅黑"/>
      <w:color w:val="000000"/>
      <w:sz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858"/>
    <w:rPr>
      <w:rFonts w:ascii="微软雅黑" w:eastAsia="微软雅黑" w:hAnsi="微软雅黑" w:cs="微软雅黑"/>
      <w:color w:val="000000"/>
      <w:sz w:val="4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ding</dc:creator>
  <cp:keywords/>
  <dc:description/>
  <cp:lastModifiedBy>k ding</cp:lastModifiedBy>
  <cp:revision>2</cp:revision>
  <dcterms:created xsi:type="dcterms:W3CDTF">2023-08-14T02:05:00Z</dcterms:created>
  <dcterms:modified xsi:type="dcterms:W3CDTF">2023-08-14T02:06:00Z</dcterms:modified>
</cp:coreProperties>
</file>