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宋体"/>
          <w:kern w:val="0"/>
          <w:sz w:val="24"/>
          <w:szCs w:val="24"/>
        </w:rPr>
      </w:pPr>
    </w:p>
    <w:tbl>
      <w:tblPr>
        <w:tblStyle w:val="2"/>
        <w:tblW w:w="11260" w:type="dxa"/>
        <w:tblCellSpacing w:w="0" w:type="dxa"/>
        <w:tblInd w:w="0" w:type="dxa"/>
        <w:tblLayout w:type="autofit"/>
        <w:tblCellMar>
          <w:top w:w="0" w:type="dxa"/>
          <w:left w:w="0" w:type="dxa"/>
          <w:bottom w:w="0" w:type="dxa"/>
          <w:right w:w="0" w:type="dxa"/>
        </w:tblCellMar>
      </w:tblPr>
      <w:tblGrid>
        <w:gridCol w:w="1214"/>
        <w:gridCol w:w="2430"/>
        <w:gridCol w:w="1216"/>
        <w:gridCol w:w="1662"/>
        <w:gridCol w:w="1216"/>
        <w:gridCol w:w="3522"/>
      </w:tblGrid>
      <w:tr>
        <w:tblPrEx>
          <w:tblCellMar>
            <w:top w:w="0" w:type="dxa"/>
            <w:left w:w="0" w:type="dxa"/>
            <w:bottom w:w="0" w:type="dxa"/>
            <w:right w:w="0" w:type="dxa"/>
          </w:tblCellMar>
        </w:tblPrEx>
        <w:trPr>
          <w:tblCellSpacing w:w="0" w:type="dxa"/>
        </w:trPr>
        <w:tc>
          <w:tcPr>
            <w:tcW w:w="539"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信息名称：</w:t>
            </w:r>
          </w:p>
        </w:tc>
        <w:tc>
          <w:tcPr>
            <w:tcW w:w="4459" w:type="pct"/>
            <w:gridSpan w:val="5"/>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教育部关于加快建设高水平本科教育全面提高人才培养能力的意见</w:t>
            </w:r>
          </w:p>
        </w:tc>
      </w:tr>
      <w:tr>
        <w:tblPrEx>
          <w:tblCellMar>
            <w:top w:w="0" w:type="dxa"/>
            <w:left w:w="0" w:type="dxa"/>
            <w:bottom w:w="0" w:type="dxa"/>
            <w:right w:w="0" w:type="dxa"/>
          </w:tblCellMar>
        </w:tblPrEx>
        <w:trPr>
          <w:tblCellSpacing w:w="0" w:type="dxa"/>
        </w:trPr>
        <w:tc>
          <w:tcPr>
            <w:tcW w:w="539"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信息索引：</w:t>
            </w:r>
          </w:p>
        </w:tc>
        <w:tc>
          <w:tcPr>
            <w:tcW w:w="1079" w:type="pct"/>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360A08-07-2018-0017-1</w:t>
            </w:r>
          </w:p>
        </w:tc>
        <w:tc>
          <w:tcPr>
            <w:tcW w:w="540"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生成日期：</w:t>
            </w:r>
          </w:p>
        </w:tc>
        <w:tc>
          <w:tcPr>
            <w:tcW w:w="738" w:type="pct"/>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2018-10-08</w:t>
            </w:r>
          </w:p>
        </w:tc>
        <w:tc>
          <w:tcPr>
            <w:tcW w:w="540"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发文机构：</w:t>
            </w:r>
          </w:p>
        </w:tc>
        <w:tc>
          <w:tcPr>
            <w:tcW w:w="1565" w:type="pct"/>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中华人民共和国教育部</w:t>
            </w:r>
          </w:p>
        </w:tc>
      </w:tr>
      <w:tr>
        <w:tblPrEx>
          <w:tblCellMar>
            <w:top w:w="0" w:type="dxa"/>
            <w:left w:w="0" w:type="dxa"/>
            <w:bottom w:w="0" w:type="dxa"/>
            <w:right w:w="0" w:type="dxa"/>
          </w:tblCellMar>
        </w:tblPrEx>
        <w:trPr>
          <w:tblCellSpacing w:w="0" w:type="dxa"/>
        </w:trPr>
        <w:tc>
          <w:tcPr>
            <w:tcW w:w="539"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发文字号：</w:t>
            </w:r>
          </w:p>
        </w:tc>
        <w:tc>
          <w:tcPr>
            <w:tcW w:w="1079" w:type="pct"/>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教高〔2018〕2号</w:t>
            </w:r>
          </w:p>
        </w:tc>
        <w:tc>
          <w:tcPr>
            <w:tcW w:w="540"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信息类别：</w:t>
            </w:r>
          </w:p>
        </w:tc>
        <w:tc>
          <w:tcPr>
            <w:tcW w:w="2840" w:type="pct"/>
            <w:gridSpan w:val="3"/>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高等教育</w:t>
            </w:r>
          </w:p>
        </w:tc>
      </w:tr>
      <w:tr>
        <w:tblPrEx>
          <w:tblCellMar>
            <w:top w:w="0" w:type="dxa"/>
            <w:left w:w="0" w:type="dxa"/>
            <w:bottom w:w="0" w:type="dxa"/>
            <w:right w:w="0" w:type="dxa"/>
          </w:tblCellMar>
        </w:tblPrEx>
        <w:trPr>
          <w:tblCellSpacing w:w="0" w:type="dxa"/>
        </w:trPr>
        <w:tc>
          <w:tcPr>
            <w:tcW w:w="539" w:type="pct"/>
          </w:tcPr>
          <w:p>
            <w:pPr>
              <w:widowControl/>
              <w:spacing w:line="375" w:lineRule="atLeast"/>
              <w:jc w:val="left"/>
              <w:rPr>
                <w:rFonts w:hint="eastAsia" w:ascii="宋体" w:hAnsi="宋体" w:eastAsia="宋体" w:cs="宋体"/>
                <w:b/>
                <w:bCs/>
                <w:color w:val="4B4B4B"/>
                <w:kern w:val="0"/>
                <w:szCs w:val="21"/>
              </w:rPr>
            </w:pPr>
            <w:r>
              <w:rPr>
                <w:rFonts w:hint="eastAsia" w:ascii="宋体" w:hAnsi="宋体" w:eastAsia="宋体" w:cs="宋体"/>
                <w:b/>
                <w:bCs/>
                <w:color w:val="4B4B4B"/>
                <w:kern w:val="0"/>
                <w:szCs w:val="21"/>
              </w:rPr>
              <w:t>内容概述：</w:t>
            </w:r>
          </w:p>
        </w:tc>
        <w:tc>
          <w:tcPr>
            <w:tcW w:w="4459" w:type="pct"/>
            <w:gridSpan w:val="5"/>
          </w:tcPr>
          <w:p>
            <w:pPr>
              <w:widowControl/>
              <w:spacing w:line="375" w:lineRule="atLeast"/>
              <w:jc w:val="left"/>
              <w:rPr>
                <w:rFonts w:hint="eastAsia" w:ascii="宋体" w:hAnsi="宋体" w:eastAsia="宋体" w:cs="宋体"/>
                <w:color w:val="4B4B4B"/>
                <w:kern w:val="0"/>
                <w:szCs w:val="21"/>
              </w:rPr>
            </w:pPr>
            <w:r>
              <w:rPr>
                <w:rFonts w:hint="eastAsia" w:ascii="宋体" w:hAnsi="宋体" w:eastAsia="宋体" w:cs="宋体"/>
                <w:color w:val="4B4B4B"/>
                <w:kern w:val="0"/>
                <w:szCs w:val="21"/>
              </w:rPr>
              <w:t>教育部发布《关于加快建设高水平本科教育全面提高人才培养能力的意见》。</w:t>
            </w:r>
          </w:p>
        </w:tc>
      </w:tr>
    </w:tbl>
    <w:p>
      <w:pPr>
        <w:widowControl/>
        <w:shd w:val="clear" w:color="auto" w:fill="FFFFFF"/>
        <w:jc w:val="left"/>
        <w:rPr>
          <w:rFonts w:hint="eastAsia" w:ascii="微软雅黑" w:hAnsi="微软雅黑" w:eastAsia="微软雅黑" w:cs="宋体"/>
          <w:vanish/>
          <w:kern w:val="0"/>
          <w:sz w:val="24"/>
          <w:szCs w:val="24"/>
        </w:rPr>
      </w:pPr>
      <w:r>
        <w:rPr>
          <w:rFonts w:hint="eastAsia" w:ascii="微软雅黑" w:hAnsi="微软雅黑" w:eastAsia="微软雅黑" w:cs="宋体"/>
          <w:vanish/>
          <w:kern w:val="0"/>
          <w:sz w:val="24"/>
          <w:szCs w:val="24"/>
        </w:rPr>
        <w:t>信息公开_部文</w:t>
      </w:r>
    </w:p>
    <w:p>
      <w:pPr>
        <w:widowControl/>
        <w:shd w:val="clear" w:color="auto" w:fill="FFFFFF"/>
        <w:spacing w:before="100" w:beforeAutospacing="1" w:after="100" w:afterAutospacing="1"/>
        <w:jc w:val="center"/>
        <w:outlineLvl w:val="1"/>
        <w:rPr>
          <w:rFonts w:hint="eastAsia" w:ascii="微软雅黑" w:hAnsi="微软雅黑" w:eastAsia="微软雅黑" w:cs="宋体"/>
          <w:b/>
          <w:bCs/>
          <w:color w:val="4B4B4B"/>
          <w:kern w:val="36"/>
          <w:sz w:val="30"/>
          <w:szCs w:val="30"/>
        </w:rPr>
      </w:pPr>
      <w:r>
        <w:rPr>
          <w:rFonts w:hint="eastAsia" w:ascii="微软雅黑" w:hAnsi="微软雅黑" w:eastAsia="微软雅黑" w:cs="宋体"/>
          <w:b/>
          <w:bCs/>
          <w:color w:val="4B4B4B"/>
          <w:kern w:val="36"/>
          <w:sz w:val="30"/>
          <w:szCs w:val="30"/>
        </w:rPr>
        <w:t>教育部关于加快建设高水平本科教育</w:t>
      </w:r>
      <w:r>
        <w:rPr>
          <w:rFonts w:hint="eastAsia" w:ascii="微软雅黑" w:hAnsi="微软雅黑" w:eastAsia="微软雅黑" w:cs="宋体"/>
          <w:b/>
          <w:bCs/>
          <w:color w:val="4B4B4B"/>
          <w:kern w:val="36"/>
          <w:sz w:val="30"/>
          <w:szCs w:val="30"/>
        </w:rPr>
        <w:br w:type="textWrapping"/>
      </w:r>
      <w:r>
        <w:rPr>
          <w:rFonts w:hint="eastAsia" w:ascii="微软雅黑" w:hAnsi="微软雅黑" w:eastAsia="微软雅黑" w:cs="宋体"/>
          <w:b/>
          <w:bCs/>
          <w:color w:val="4B4B4B"/>
          <w:kern w:val="36"/>
          <w:sz w:val="30"/>
          <w:szCs w:val="30"/>
        </w:rPr>
        <w:t>全面提高人才培养能力的意见</w:t>
      </w:r>
      <w:bookmarkStart w:id="0" w:name="_GoBack"/>
      <w:bookmarkEnd w:id="0"/>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教高〔2018〕2号</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各省、自治区、直辖市教育厅（教委），新疆生产建设兵团教育局，有关部门（单位）教育司（局），部属各高等学校、部省合建各高等学校：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w:t>
      </w:r>
      <w:r>
        <w:rPr>
          <w:rFonts w:hint="eastAsia" w:ascii="微软雅黑" w:hAnsi="微软雅黑" w:eastAsia="微软雅黑" w:cs="宋体"/>
          <w:b/>
          <w:bCs/>
          <w:color w:val="4B4B4B"/>
          <w:kern w:val="0"/>
          <w:sz w:val="24"/>
          <w:szCs w:val="24"/>
        </w:rPr>
        <w:t xml:space="preserve">一、建设高水平本科教育的重要意义和形势要求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二、建设高水平本科教育的指导思想和目标原则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5.基本原则。</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立德树人，德育为先。把立德树人内化到大学建设和管理各领域、各方面、各环节，坚持以文化人、以德育人，不断提高学生思想水平、政治觉悟、道德品质、文化素养，教育学生明大德、守公德、严私德。</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学生中心，全面发展。以促进学生全面发展为中心，既注重“教得好”，更注重“学得好”，激发学生学习兴趣和潜能，激励学生爱国、励志、求真、力行，增强学生的社会责任感、创新精神和实践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服务需求，成效导向。主动对接经济社会发展需求，优化专业结构，完善课程体系，更新教学内容，改进教学方法，切实提高高校人才培养的目标达成度、社会适应度、条件保障度、质保有效度和结果满意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完善机制，持续改进。以创新人才培养机制为重点，形成招生、培养与就业联动机制，完善专业动态调整机制，健全协同育人机制，优化实践育人机制，强化质量评价保障机制，形成人才培养质量持续改进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——坚持分类指导，特色发展。推动高校分类发展，引导各类高校发挥办学优势，在不同领域各展所长，建设优势特色专业，提高创新型、复合型、应用型人才培养质量，形成全局性改革成果。</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三、把思想政治教育贯穿高水平本科教育全过程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四、围绕激发学生学习兴趣和潜能深化教学改革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五、全面提高教师教书育人能力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六、大力推进一流专业建设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七、推进现代信息技术与教育教学深度融合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八、构建全方位全过程深融合的协同育人新机制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九、加强大学质量文化建设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b/>
          <w:bCs/>
          <w:color w:val="4B4B4B"/>
          <w:kern w:val="0"/>
          <w:sz w:val="24"/>
          <w:szCs w:val="24"/>
        </w:rPr>
        <w:t xml:space="preserve">　　十、切实做好高水平本科教育建设工作的组织实施 </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pPr>
        <w:widowControl/>
        <w:shd w:val="clear" w:color="auto" w:fill="FFFFFF"/>
        <w:spacing w:before="100" w:beforeAutospacing="1" w:after="100" w:afterAutospacing="1" w:line="480" w:lineRule="atLeast"/>
        <w:jc w:val="lef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教育部</w:t>
      </w:r>
    </w:p>
    <w:p>
      <w:pPr>
        <w:widowControl/>
        <w:shd w:val="clear" w:color="auto" w:fill="FFFFFF"/>
        <w:spacing w:before="100" w:beforeAutospacing="1" w:after="100" w:afterAutospacing="1" w:line="480" w:lineRule="atLeast"/>
        <w:jc w:val="right"/>
        <w:rPr>
          <w:rFonts w:hint="eastAsia" w:ascii="微软雅黑" w:hAnsi="微软雅黑" w:eastAsia="微软雅黑" w:cs="宋体"/>
          <w:color w:val="4B4B4B"/>
          <w:kern w:val="0"/>
          <w:sz w:val="24"/>
          <w:szCs w:val="24"/>
        </w:rPr>
      </w:pPr>
      <w:r>
        <w:rPr>
          <w:rFonts w:hint="eastAsia" w:ascii="微软雅黑" w:hAnsi="微软雅黑" w:eastAsia="微软雅黑" w:cs="宋体"/>
          <w:color w:val="4B4B4B"/>
          <w:kern w:val="0"/>
          <w:sz w:val="24"/>
          <w:szCs w:val="24"/>
        </w:rPr>
        <w:t>2018年9月17日</w:t>
      </w:r>
    </w:p>
    <w:p>
      <w:pPr>
        <w:widowControl/>
        <w:shd w:val="clear" w:color="auto" w:fill="FFFFFF"/>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点击右上角</w:t>
      </w:r>
      <w:r>
        <w:rPr>
          <w:rFonts w:hint="eastAsia" w:ascii="微软雅黑" w:hAnsi="微软雅黑" w:eastAsia="微软雅黑" w:cs="宋体"/>
          <w:kern w:val="0"/>
          <w:sz w:val="24"/>
          <w:szCs w:val="24"/>
        </w:rPr>
        <w:br w:type="textWrapping"/>
      </w:r>
      <w:r>
        <w:rPr>
          <w:rFonts w:hint="eastAsia" w:ascii="微软雅黑" w:hAnsi="微软雅黑" w:eastAsia="微软雅黑" w:cs="宋体"/>
          <w:kern w:val="0"/>
          <w:sz w:val="24"/>
          <w:szCs w:val="24"/>
        </w:rPr>
        <w:t>选择在浏览器中打开</w:t>
      </w:r>
    </w:p>
    <w:p>
      <w:pPr>
        <w:widowControl/>
        <w:shd w:val="clear" w:color="auto" w:fill="FFFFFF"/>
        <w:jc w:val="center"/>
        <w:rPr>
          <w:rFonts w:hint="eastAsia" w:ascii="微软雅黑" w:hAnsi="微软雅黑" w:eastAsia="微软雅黑" w:cs="宋体"/>
          <w:color w:val="4B4B4B"/>
          <w:kern w:val="0"/>
          <w:sz w:val="24"/>
          <w:szCs w:val="24"/>
        </w:rPr>
      </w:pPr>
      <w:r>
        <w:drawing>
          <wp:inline distT="0" distB="0" distL="0" distR="0">
            <wp:extent cx="1432560" cy="1432560"/>
            <wp:effectExtent l="0" t="0" r="0" b="0"/>
            <wp:docPr id="7" name="图片 7" descr="C:\Users\pc\AppData\Local\Microsoft\Windows\Temporary Internet Files\Content.MSO\43DF2A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c\AppData\Local\Microsoft\Windows\Temporary Internet Files\Content.MSO\43DF2A5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32560" cy="1432560"/>
                    </a:xfrm>
                    <a:prstGeom prst="rect">
                      <a:avLst/>
                    </a:prstGeom>
                    <a:noFill/>
                    <a:ln>
                      <a:noFill/>
                    </a:ln>
                  </pic:spPr>
                </pic:pic>
              </a:graphicData>
            </a:graphic>
          </wp:inline>
        </w:drawing>
      </w:r>
      <w:r>
        <w:rPr>
          <w:rFonts w:hint="eastAsia" w:ascii="微软雅黑" w:hAnsi="微软雅黑" w:eastAsia="微软雅黑" w:cs="宋体"/>
          <w:color w:val="4B4B4B"/>
          <w:kern w:val="0"/>
          <w:sz w:val="24"/>
          <w:szCs w:val="24"/>
        </w:rPr>
        <w:t>扫一扫分享本页</w:t>
      </w:r>
    </w:p>
    <w:p>
      <w:pPr>
        <w:widowControl/>
        <w:shd w:val="clear" w:color="auto" w:fill="FFFFFF"/>
        <w:jc w:val="center"/>
        <w:rPr>
          <w:rFonts w:hint="eastAsia" w:ascii="微软雅黑" w:hAnsi="微软雅黑" w:eastAsia="微软雅黑" w:cs="宋体"/>
          <w:vanish/>
          <w:color w:val="4B4B4B"/>
          <w:kern w:val="0"/>
          <w:sz w:val="24"/>
          <w:szCs w:val="24"/>
        </w:rPr>
      </w:pPr>
      <w:r>
        <w:rPr>
          <w:rFonts w:ascii="微软雅黑" w:hAnsi="微软雅黑" w:eastAsia="微软雅黑" w:cs="宋体"/>
          <w:vanish/>
          <w:color w:val="4B4B4B"/>
          <w:kern w:val="0"/>
          <w:sz w:val="24"/>
          <w:szCs w:val="24"/>
        </w:rPr>
        <mc:AlternateContent>
          <mc:Choice Requires="wps">
            <w:drawing>
              <wp:inline distT="0" distB="0" distL="0" distR="0">
                <wp:extent cx="304800" cy="304800"/>
                <wp:effectExtent l="0" t="0" r="0" b="0"/>
                <wp:docPr id="1" name="AutoShape 8" descr="http://www.moe.gov.cn/srcsite/A08/s7056/35188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8" o:spid="_x0000_s1026" o:spt="1" alt="http://www.moe.gov.cn/srcsite/A08/s7056/351887.jp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fMlnTSAAAA&#10;AwEAAA8AAAAAAAAAAQAgAAAAIgAAAGRycy9kb3ducmV2LnhtbFBLAQIUABQAAAAIAIdO4kBuvpXQ&#10;IwIAAE0EAAAOAAAAAAAAAAEAIAAAACEBAABkcnMvZTJvRG9jLnhtbFBLBQYAAAAABgAGAFkBAAC2&#10;BQAAAAA=&#10;">
                <v:fill on="f" focussize="0,0"/>
                <v:stroke on="f"/>
                <v:imagedata o:title=""/>
                <o:lock v:ext="edit" aspectratio="t"/>
                <w10:wrap type="none"/>
                <w10:anchorlock/>
              </v:rect>
            </w:pict>
          </mc:Fallback>
        </mc:AlternateContent>
      </w:r>
      <w:r>
        <w:rPr>
          <w:rFonts w:hint="eastAsia" w:ascii="微软雅黑" w:hAnsi="微软雅黑" w:eastAsia="微软雅黑" w:cs="宋体"/>
          <w:vanish/>
          <w:color w:val="4B4B4B"/>
          <w:kern w:val="0"/>
          <w:sz w:val="24"/>
          <w:szCs w:val="24"/>
        </w:rPr>
        <w:br w:type="textWrapping"/>
      </w:r>
      <w:r>
        <w:rPr>
          <w:rFonts w:hint="eastAsia" w:ascii="微软雅黑" w:hAnsi="微软雅黑" w:eastAsia="微软雅黑" w:cs="宋体"/>
          <w:vanish/>
          <w:color w:val="4B4B4B"/>
          <w:kern w:val="0"/>
          <w:sz w:val="24"/>
          <w:szCs w:val="24"/>
        </w:rPr>
        <w:t>扫一扫分享本页</w:t>
      </w:r>
    </w:p>
    <w:p>
      <w:pPr>
        <w:widowControl/>
        <w:shd w:val="clear" w:color="auto" w:fill="FFFFFF"/>
        <w:spacing w:line="600" w:lineRule="atLeast"/>
        <w:jc w:val="left"/>
        <w:rPr>
          <w:rFonts w:hint="eastAsia" w:ascii="微软雅黑" w:hAnsi="微软雅黑" w:eastAsia="微软雅黑" w:cs="宋体"/>
          <w:b/>
          <w:bCs/>
          <w:color w:val="567FE6"/>
          <w:kern w:val="0"/>
          <w:sz w:val="24"/>
          <w:szCs w:val="24"/>
        </w:rPr>
      </w:pPr>
      <w:r>
        <w:rPr>
          <w:rFonts w:hint="eastAsia" w:ascii="微软雅黑" w:hAnsi="微软雅黑" w:eastAsia="微软雅黑" w:cs="宋体"/>
          <w:b/>
          <w:bCs/>
          <w:color w:val="567FE6"/>
          <w:kern w:val="0"/>
          <w:sz w:val="24"/>
          <w:szCs w:val="24"/>
        </w:rPr>
        <w:t>相关阅读</w:t>
      </w:r>
    </w:p>
    <w:p>
      <w:pPr>
        <w:widowControl/>
        <w:shd w:val="clear" w:color="auto" w:fill="FFFFFF"/>
        <w:spacing w:line="450" w:lineRule="atLeast"/>
        <w:ind w:left="720"/>
        <w:jc w:val="left"/>
        <w:rPr>
          <w:rFonts w:hint="eastAsia" w:ascii="微软雅黑" w:hAnsi="微软雅黑" w:eastAsia="微软雅黑" w:cs="宋体"/>
          <w:kern w:val="0"/>
          <w:sz w:val="24"/>
          <w:szCs w:val="24"/>
        </w:rPr>
      </w:pPr>
      <w:r>
        <w:fldChar w:fldCharType="begin"/>
      </w:r>
      <w:r>
        <w:instrText xml:space="preserve"> HYPERLINK "http://www.moe.gov.cn/jyb_xwfb/s271/201810/t20181017_351821.html" \t "_blank" </w:instrText>
      </w:r>
      <w:r>
        <w:fldChar w:fldCharType="separate"/>
      </w:r>
      <w:r>
        <w:rPr>
          <w:rFonts w:hint="eastAsia" w:ascii="微软雅黑" w:hAnsi="微软雅黑" w:eastAsia="微软雅黑" w:cs="宋体"/>
          <w:color w:val="6B6B6B"/>
          <w:kern w:val="0"/>
          <w:sz w:val="24"/>
          <w:szCs w:val="24"/>
        </w:rPr>
        <w:t>教育部高等教育司负责人就《关于加快建设高水平本科教育 全面提高人才培养能力的意见》等文件答记者问</w:t>
      </w:r>
      <w:r>
        <w:rPr>
          <w:rFonts w:hint="eastAsia" w:ascii="微软雅黑" w:hAnsi="微软雅黑" w:eastAsia="微软雅黑" w:cs="宋体"/>
          <w:color w:val="6B6B6B"/>
          <w:kern w:val="0"/>
          <w:sz w:val="24"/>
          <w:szCs w:val="24"/>
        </w:rPr>
        <w:fldChar w:fldCharType="end"/>
      </w:r>
    </w:p>
    <w:p>
      <w:pPr>
        <w:widowControl/>
        <w:shd w:val="clear" w:color="auto" w:fill="474E62"/>
        <w:jc w:val="left"/>
        <w:rPr>
          <w:rFonts w:hint="eastAsia" w:ascii="微软雅黑" w:hAnsi="微软雅黑" w:eastAsia="微软雅黑" w:cs="宋体"/>
          <w:kern w:val="0"/>
          <w:sz w:val="24"/>
          <w:szCs w:val="24"/>
        </w:rPr>
      </w:pPr>
      <w:r>
        <w:rPr>
          <w:rFonts w:ascii="微软雅黑" w:hAnsi="微软雅黑" w:eastAsia="微软雅黑" w:cs="宋体"/>
          <w:color w:val="0000FF"/>
          <w:kern w:val="0"/>
          <w:sz w:val="24"/>
          <w:szCs w:val="24"/>
        </w:rPr>
        <w:drawing>
          <wp:inline distT="0" distB="0" distL="0" distR="0">
            <wp:extent cx="762000" cy="762000"/>
            <wp:effectExtent l="0" t="0" r="0" b="0"/>
            <wp:docPr id="9" name="imgConac" descr="http://dcs.conac.cn/image/re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Conac" descr="http://dcs.conac.cn/image/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2000" cy="762000"/>
                    </a:xfrm>
                    <a:prstGeom prst="rect">
                      <a:avLst/>
                    </a:prstGeom>
                    <a:noFill/>
                    <a:ln>
                      <a:noFill/>
                    </a:ln>
                  </pic:spPr>
                </pic:pic>
              </a:graphicData>
            </a:graphic>
          </wp:inline>
        </w:drawing>
      </w:r>
      <w:r>
        <w:rPr>
          <w:rFonts w:ascii="微软雅黑" w:hAnsi="微软雅黑" w:eastAsia="微软雅黑" w:cs="宋体"/>
          <w:color w:val="0000FF"/>
          <w:kern w:val="0"/>
          <w:sz w:val="24"/>
          <w:szCs w:val="24"/>
        </w:rPr>
        <w:drawing>
          <wp:inline distT="0" distB="0" distL="0" distR="0">
            <wp:extent cx="1051560" cy="525780"/>
            <wp:effectExtent l="0" t="0" r="0" b="7620"/>
            <wp:docPr id="10" name="图片 10" descr="http://121.43.68.40/exposure/images/jiucuo.png?v=bm050000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121.43.68.40/exposure/images/jiucuo.png?v=bm050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1560" cy="525780"/>
                    </a:xfrm>
                    <a:prstGeom prst="rect">
                      <a:avLst/>
                    </a:prstGeom>
                    <a:noFill/>
                    <a:ln>
                      <a:noFill/>
                    </a:ln>
                  </pic:spPr>
                </pic:pic>
              </a:graphicData>
            </a:graphic>
          </wp:inline>
        </w:drawing>
      </w:r>
    </w:p>
    <w:p>
      <w:pPr>
        <w:widowControl/>
        <w:numPr>
          <w:ilvl w:val="0"/>
          <w:numId w:val="1"/>
        </w:numPr>
        <w:shd w:val="clear" w:color="auto" w:fill="474E62"/>
        <w:spacing w:before="150" w:after="150"/>
        <w:ind w:left="1095" w:right="375"/>
        <w:jc w:val="left"/>
        <w:rPr>
          <w:rFonts w:hint="eastAsia" w:ascii="微软雅黑" w:hAnsi="微软雅黑" w:eastAsia="微软雅黑" w:cs="宋体"/>
          <w:kern w:val="0"/>
          <w:sz w:val="24"/>
          <w:szCs w:val="24"/>
        </w:rPr>
      </w:pPr>
      <w:r>
        <w:fldChar w:fldCharType="begin"/>
      </w:r>
      <w:r>
        <w:instrText xml:space="preserve"> HYPERLINK "http://www.moe.gov.cn/jyb_sy/s3634/201005/t20100504_87292.html" \t "_blank" </w:instrText>
      </w:r>
      <w:r>
        <w:fldChar w:fldCharType="separate"/>
      </w:r>
      <w:r>
        <w:rPr>
          <w:rFonts w:hint="eastAsia" w:ascii="微软雅黑" w:hAnsi="微软雅黑" w:eastAsia="微软雅黑" w:cs="宋体"/>
          <w:color w:val="848893"/>
          <w:kern w:val="0"/>
          <w:szCs w:val="21"/>
        </w:rPr>
        <w:t>网站声明</w:t>
      </w:r>
      <w:r>
        <w:rPr>
          <w:rFonts w:hint="eastAsia" w:ascii="微软雅黑" w:hAnsi="微软雅黑" w:eastAsia="微软雅黑" w:cs="宋体"/>
          <w:color w:val="848893"/>
          <w:kern w:val="0"/>
          <w:szCs w:val="21"/>
        </w:rPr>
        <w:fldChar w:fldCharType="end"/>
      </w:r>
      <w:r>
        <w:rPr>
          <w:rFonts w:hint="eastAsia" w:ascii="微软雅黑" w:hAnsi="微软雅黑" w:eastAsia="微软雅黑" w:cs="宋体"/>
          <w:kern w:val="0"/>
          <w:sz w:val="24"/>
          <w:szCs w:val="24"/>
        </w:rPr>
        <w:t xml:space="preserve"> </w:t>
      </w:r>
    </w:p>
    <w:p>
      <w:pPr>
        <w:widowControl/>
        <w:numPr>
          <w:ilvl w:val="0"/>
          <w:numId w:val="1"/>
        </w:numPr>
        <w:shd w:val="clear" w:color="auto" w:fill="474E62"/>
        <w:spacing w:before="150" w:after="150"/>
        <w:ind w:left="1095" w:right="375"/>
        <w:jc w:val="left"/>
        <w:rPr>
          <w:rFonts w:hint="eastAsia" w:ascii="微软雅黑" w:hAnsi="微软雅黑" w:eastAsia="微软雅黑" w:cs="宋体"/>
          <w:kern w:val="0"/>
          <w:sz w:val="24"/>
          <w:szCs w:val="24"/>
        </w:rPr>
      </w:pPr>
      <w:r>
        <w:fldChar w:fldCharType="begin"/>
      </w:r>
      <w:r>
        <w:instrText xml:space="preserve"> HYPERLINK "http://www.moe.gov.cn/jyb_sy/s3636/201712/t20171231_323442.html" \t "_blank" </w:instrText>
      </w:r>
      <w:r>
        <w:fldChar w:fldCharType="separate"/>
      </w:r>
      <w:r>
        <w:rPr>
          <w:rFonts w:hint="eastAsia" w:ascii="微软雅黑" w:hAnsi="微软雅黑" w:eastAsia="微软雅黑" w:cs="宋体"/>
          <w:color w:val="848893"/>
          <w:kern w:val="0"/>
          <w:szCs w:val="21"/>
        </w:rPr>
        <w:t>网站地图</w:t>
      </w:r>
      <w:r>
        <w:rPr>
          <w:rFonts w:hint="eastAsia" w:ascii="微软雅黑" w:hAnsi="微软雅黑" w:eastAsia="微软雅黑" w:cs="宋体"/>
          <w:color w:val="848893"/>
          <w:kern w:val="0"/>
          <w:szCs w:val="21"/>
        </w:rPr>
        <w:fldChar w:fldCharType="end"/>
      </w:r>
      <w:r>
        <w:rPr>
          <w:rFonts w:hint="eastAsia" w:ascii="微软雅黑" w:hAnsi="微软雅黑" w:eastAsia="微软雅黑" w:cs="宋体"/>
          <w:kern w:val="0"/>
          <w:sz w:val="24"/>
          <w:szCs w:val="24"/>
        </w:rPr>
        <w:t xml:space="preserve"> </w:t>
      </w:r>
    </w:p>
    <w:p>
      <w:pPr>
        <w:widowControl/>
        <w:numPr>
          <w:ilvl w:val="0"/>
          <w:numId w:val="1"/>
        </w:numPr>
        <w:shd w:val="clear" w:color="auto" w:fill="474E62"/>
        <w:spacing w:before="150" w:after="150"/>
        <w:ind w:left="1095" w:right="375"/>
        <w:jc w:val="left"/>
        <w:rPr>
          <w:rFonts w:hint="eastAsia" w:ascii="微软雅黑" w:hAnsi="微软雅黑" w:eastAsia="微软雅黑" w:cs="宋体"/>
          <w:kern w:val="0"/>
          <w:sz w:val="24"/>
          <w:szCs w:val="24"/>
        </w:rPr>
      </w:pPr>
      <w:r>
        <w:fldChar w:fldCharType="begin"/>
      </w:r>
      <w:r>
        <w:instrText xml:space="preserve"> HYPERLINK "http://www.moe.gov.cn/jyb_sy/s3635/201611/t20161129_290403.html" \t "_blank" </w:instrText>
      </w:r>
      <w:r>
        <w:fldChar w:fldCharType="separate"/>
      </w:r>
      <w:r>
        <w:rPr>
          <w:rFonts w:hint="eastAsia" w:ascii="微软雅黑" w:hAnsi="微软雅黑" w:eastAsia="微软雅黑" w:cs="宋体"/>
          <w:color w:val="848893"/>
          <w:kern w:val="0"/>
          <w:szCs w:val="21"/>
        </w:rPr>
        <w:t>联系我们</w:t>
      </w:r>
      <w:r>
        <w:rPr>
          <w:rFonts w:hint="eastAsia" w:ascii="微软雅黑" w:hAnsi="微软雅黑" w:eastAsia="微软雅黑" w:cs="宋体"/>
          <w:color w:val="848893"/>
          <w:kern w:val="0"/>
          <w:szCs w:val="21"/>
        </w:rPr>
        <w:fldChar w:fldCharType="end"/>
      </w:r>
      <w:r>
        <w:rPr>
          <w:rFonts w:hint="eastAsia" w:ascii="微软雅黑" w:hAnsi="微软雅黑" w:eastAsia="微软雅黑" w:cs="宋体"/>
          <w:kern w:val="0"/>
          <w:sz w:val="24"/>
          <w:szCs w:val="24"/>
        </w:rPr>
        <w:t xml:space="preserve"> </w:t>
      </w:r>
    </w:p>
    <w:p>
      <w:pPr>
        <w:widowControl/>
        <w:shd w:val="clear" w:color="auto" w:fill="474E62"/>
        <w:spacing w:before="100" w:beforeAutospacing="1" w:after="100" w:afterAutospacing="1" w:line="420" w:lineRule="atLeast"/>
        <w:jc w:val="center"/>
        <w:rPr>
          <w:rFonts w:hint="eastAsia" w:ascii="宋体" w:hAnsi="宋体" w:eastAsia="宋体" w:cs="宋体"/>
          <w:color w:val="848893"/>
          <w:kern w:val="0"/>
          <w:sz w:val="18"/>
          <w:szCs w:val="18"/>
        </w:rPr>
      </w:pPr>
      <w:r>
        <w:rPr>
          <w:rFonts w:hint="eastAsia" w:ascii="宋体" w:hAnsi="宋体" w:eastAsia="宋体" w:cs="宋体"/>
          <w:color w:val="848893"/>
          <w:kern w:val="0"/>
          <w:sz w:val="18"/>
          <w:szCs w:val="18"/>
        </w:rPr>
        <w:t>版权所有：中华人民共和国教育部 中文域名：教育部.政务</w:t>
      </w:r>
    </w:p>
    <w:p>
      <w:pPr>
        <w:widowControl/>
        <w:shd w:val="clear" w:color="auto" w:fill="474E62"/>
        <w:spacing w:before="100" w:beforeAutospacing="1" w:after="100" w:afterAutospacing="1" w:line="420" w:lineRule="atLeast"/>
        <w:jc w:val="center"/>
        <w:rPr>
          <w:rFonts w:hint="eastAsia" w:ascii="宋体" w:hAnsi="宋体" w:eastAsia="宋体" w:cs="宋体"/>
          <w:color w:val="848893"/>
          <w:kern w:val="0"/>
          <w:sz w:val="18"/>
          <w:szCs w:val="18"/>
        </w:rPr>
      </w:pPr>
      <w:r>
        <w:fldChar w:fldCharType="begin"/>
      </w:r>
      <w:r>
        <w:instrText xml:space="preserve"> HYPERLINK "http://www.miitbeian.gov.cn/" \t "_blank" </w:instrText>
      </w:r>
      <w:r>
        <w:fldChar w:fldCharType="separate"/>
      </w:r>
      <w:r>
        <w:rPr>
          <w:rFonts w:hint="eastAsia" w:ascii="宋体" w:hAnsi="宋体" w:eastAsia="宋体" w:cs="宋体"/>
          <w:color w:val="848893"/>
          <w:kern w:val="0"/>
          <w:sz w:val="18"/>
          <w:szCs w:val="18"/>
        </w:rPr>
        <w:t>京ICP备10028400号-1</w:t>
      </w:r>
      <w:r>
        <w:rPr>
          <w:rFonts w:hint="eastAsia" w:ascii="宋体" w:hAnsi="宋体" w:eastAsia="宋体" w:cs="宋体"/>
          <w:color w:val="848893"/>
          <w:kern w:val="0"/>
          <w:sz w:val="18"/>
          <w:szCs w:val="18"/>
        </w:rPr>
        <w:fldChar w:fldCharType="end"/>
      </w:r>
      <w:r>
        <w:rPr>
          <w:rFonts w:hint="eastAsia" w:ascii="宋体" w:hAnsi="宋体" w:eastAsia="宋体" w:cs="宋体"/>
          <w:color w:val="848893"/>
          <w:kern w:val="0"/>
          <w:sz w:val="18"/>
          <w:szCs w:val="18"/>
        </w:rPr>
        <w:t xml:space="preserve"> </w:t>
      </w:r>
      <w:r>
        <w:fldChar w:fldCharType="begin"/>
      </w:r>
      <w:r>
        <w:instrText xml:space="preserve"> HYPERLINK "http://www.beian.gov.cn/portal/registerSystemInfo?recordcode=11010202007625" \t "_blank" </w:instrText>
      </w:r>
      <w:r>
        <w:fldChar w:fldCharType="separate"/>
      </w:r>
      <w:r>
        <w:rPr>
          <w:rFonts w:hint="eastAsia" w:ascii="宋体" w:hAnsi="宋体" w:eastAsia="宋体" w:cs="宋体"/>
          <w:color w:val="848893"/>
          <w:kern w:val="0"/>
          <w:sz w:val="18"/>
          <w:szCs w:val="18"/>
        </w:rPr>
        <w:t>京公网安备11010202007625号</w:t>
      </w:r>
      <w:r>
        <w:rPr>
          <w:rFonts w:hint="eastAsia" w:ascii="宋体" w:hAnsi="宋体" w:eastAsia="宋体" w:cs="宋体"/>
          <w:color w:val="848893"/>
          <w:kern w:val="0"/>
          <w:sz w:val="18"/>
          <w:szCs w:val="18"/>
        </w:rPr>
        <w:fldChar w:fldCharType="end"/>
      </w:r>
      <w:r>
        <w:rPr>
          <w:rFonts w:hint="eastAsia" w:ascii="宋体" w:hAnsi="宋体" w:eastAsia="宋体" w:cs="宋体"/>
          <w:color w:val="848893"/>
          <w:kern w:val="0"/>
          <w:sz w:val="18"/>
          <w:szCs w:val="18"/>
        </w:rPr>
        <w:t xml:space="preserve"> 网站标识码：bm05000001</w:t>
      </w:r>
    </w:p>
    <w:p>
      <w:pPr>
        <w:widowControl/>
        <w:spacing w:line="435" w:lineRule="atLeast"/>
        <w:jc w:val="center"/>
        <w:rPr>
          <w:rFonts w:hint="eastAsia" w:ascii="微软雅黑" w:hAnsi="微软雅黑" w:eastAsia="微软雅黑" w:cs="宋体"/>
          <w:vanish/>
          <w:kern w:val="0"/>
          <w:szCs w:val="21"/>
        </w:rPr>
      </w:pPr>
      <w:r>
        <w:rPr>
          <w:rFonts w:hint="eastAsia" w:ascii="微软雅黑" w:hAnsi="微软雅黑" w:eastAsia="微软雅黑" w:cs="宋体"/>
          <w:vanish/>
          <w:kern w:val="0"/>
          <w:szCs w:val="21"/>
        </w:rPr>
        <w:t>复制</w:t>
      </w:r>
      <w:r>
        <w:fldChar w:fldCharType="begin"/>
      </w:r>
      <w:r>
        <w:instrText xml:space="preserve"> HYPERLINK "http://www.moe.gov.cn/srcsite/A08/s7056/201810/t20181017_351887.html" \l "##" \t "_blank" </w:instrText>
      </w:r>
      <w:r>
        <w:fldChar w:fldCharType="separate"/>
      </w:r>
      <w:r>
        <w:rPr>
          <w:rFonts w:hint="eastAsia" w:ascii="微软雅黑" w:hAnsi="微软雅黑" w:eastAsia="微软雅黑" w:cs="宋体"/>
          <w:vanish/>
          <w:color w:val="5B8EB2"/>
          <w:kern w:val="0"/>
          <w:szCs w:val="21"/>
        </w:rPr>
        <w:t>搜索</w:t>
      </w:r>
      <w:r>
        <w:rPr>
          <w:rFonts w:hint="eastAsia" w:ascii="微软雅黑" w:hAnsi="微软雅黑" w:eastAsia="微软雅黑" w:cs="宋体"/>
          <w:vanish/>
          <w:color w:val="5B8EB2"/>
          <w:kern w:val="0"/>
          <w:szCs w:val="21"/>
        </w:rPr>
        <w:fldChar w:fldCharType="end"/>
      </w:r>
      <w:r>
        <w:rPr>
          <w:rFonts w:hint="eastAsia" w:ascii="微软雅黑" w:hAnsi="微软雅黑" w:eastAsia="微软雅黑" w:cs="宋体"/>
          <w:vanish/>
          <w:kern w:val="0"/>
          <w:szCs w:val="21"/>
        </w:rPr>
        <w:t xml:space="preserve"> </w:t>
      </w:r>
    </w:p>
    <w:p>
      <w:pPr>
        <w:widowControl/>
        <w:spacing w:line="360" w:lineRule="atLeast"/>
        <w:jc w:val="left"/>
        <w:rPr>
          <w:rFonts w:hint="eastAsia" w:ascii="微软雅黑" w:hAnsi="微软雅黑" w:eastAsia="微软雅黑" w:cs="宋体"/>
          <w:vanish/>
          <w:color w:val="5B8EB2"/>
          <w:kern w:val="0"/>
          <w:sz w:val="18"/>
          <w:szCs w:val="18"/>
        </w:rPr>
      </w:pPr>
      <w:r>
        <w:rPr>
          <w:rFonts w:hint="eastAsia" w:ascii="微软雅黑" w:hAnsi="微软雅黑" w:eastAsia="微软雅黑" w:cs="宋体"/>
          <w:color w:val="5B8EB2"/>
          <w:kern w:val="0"/>
          <w:sz w:val="18"/>
          <w:szCs w:val="18"/>
        </w:rPr>
        <w:t>启动快捷搜索设置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D1532"/>
    <w:multiLevelType w:val="multilevel"/>
    <w:tmpl w:val="698D15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10"/>
    <w:rsid w:val="003A11CB"/>
    <w:rsid w:val="00A13810"/>
    <w:rsid w:val="0C3B6BE7"/>
    <w:rsid w:val="65A9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hyperlink" Target="http://121.43.68.40/exposure/jiucuo.html?site_code=bm05000001%26url=http://www.moe.gov.cn/srcsite/A08/s7056/201810/t20181017_351887.html" TargetMode="External"/><Relationship Id="rId6" Type="http://schemas.openxmlformats.org/officeDocument/2006/relationships/image" Target="media/image2.png"/><Relationship Id="rId5" Type="http://schemas.openxmlformats.org/officeDocument/2006/relationships/hyperlink" Target="http://bszs.conac.cn/sitename?method=show%26id=05FDD4B7206C29B0E053012819AC4C18"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8915</Words>
  <Characters>9068</Characters>
  <Lines>70</Lines>
  <Paragraphs>19</Paragraphs>
  <TotalTime>1</TotalTime>
  <ScaleCrop>false</ScaleCrop>
  <LinksUpToDate>false</LinksUpToDate>
  <CharactersWithSpaces>9198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2019-08-21T08:18:00Z</dcterms:created>
  <dc:creator>pc</dc:creator>
  <cp:lastModifiedBy>李喜民</cp:lastModifiedBy>
  <dcterms:modified xsi:type="dcterms:W3CDTF">2023-03-20T07:13:15Z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369FC6D574A24F9EB0A9698F52DDA04C</vt:lpwstr>
  </property>
</Properties>
</file>