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48" w:lineRule="auto"/>
        <w:jc w:val="center"/>
        <w:textAlignment w:val="auto"/>
        <w:rPr>
          <w:rFonts w:ascii="方正小标宋简体" w:hAnsi="宋体" w:eastAsia="方正小标宋简体"/>
          <w:sz w:val="44"/>
          <w:szCs w:val="44"/>
        </w:rPr>
      </w:pPr>
      <w:bookmarkStart w:id="0" w:name="_GoBack"/>
      <w:r>
        <w:rPr>
          <w:rFonts w:hint="eastAsia" w:ascii="方正小标宋简体" w:hAnsi="宋体" w:eastAsia="方正小标宋简体"/>
          <w:sz w:val="44"/>
          <w:szCs w:val="44"/>
          <w:lang w:val="en-US" w:eastAsia="zh-CN"/>
        </w:rPr>
        <w:t>郑州工商</w:t>
      </w:r>
      <w:r>
        <w:rPr>
          <w:rFonts w:hint="eastAsia" w:ascii="方正小标宋简体" w:hAnsi="宋体" w:eastAsia="方正小标宋简体"/>
          <w:sz w:val="44"/>
          <w:szCs w:val="44"/>
        </w:rPr>
        <w:t>学院重点学科验收考核指标体系（自评指标）</w:t>
      </w:r>
    </w:p>
    <w:bookmarkEnd w:id="0"/>
    <w:tbl>
      <w:tblPr>
        <w:tblStyle w:val="3"/>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1205"/>
        <w:gridCol w:w="7257"/>
        <w:gridCol w:w="729"/>
        <w:gridCol w:w="1149"/>
        <w:gridCol w:w="25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noWrap w:val="0"/>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ascii="黑体" w:hAnsi="黑体" w:eastAsia="黑体"/>
                <w:szCs w:val="21"/>
              </w:rPr>
            </w:pPr>
            <w:r>
              <w:rPr>
                <w:rFonts w:ascii="黑体" w:hAnsi="黑体" w:eastAsia="黑体"/>
                <w:szCs w:val="21"/>
              </w:rPr>
              <w:t>一级指标</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ascii="黑体" w:hAnsi="黑体" w:eastAsia="黑体"/>
                <w:szCs w:val="21"/>
              </w:rPr>
            </w:pPr>
            <w:r>
              <w:rPr>
                <w:rFonts w:ascii="黑体" w:hAnsi="黑体" w:eastAsia="黑体"/>
                <w:szCs w:val="21"/>
              </w:rPr>
              <w:t>二级指标</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ascii="黑体" w:hAnsi="黑体" w:eastAsia="黑体"/>
                <w:szCs w:val="21"/>
              </w:rPr>
            </w:pPr>
            <w:r>
              <w:rPr>
                <w:rFonts w:ascii="黑体" w:hAnsi="黑体" w:eastAsia="黑体"/>
                <w:szCs w:val="21"/>
              </w:rPr>
              <w:t>三级量化指标</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ascii="黑体" w:hAnsi="黑体" w:eastAsia="黑体"/>
                <w:szCs w:val="21"/>
              </w:rPr>
            </w:pPr>
            <w:r>
              <w:rPr>
                <w:rFonts w:ascii="黑体" w:hAnsi="黑体" w:eastAsia="黑体"/>
                <w:szCs w:val="21"/>
              </w:rPr>
              <w:t>分值</w:t>
            </w:r>
          </w:p>
        </w:tc>
        <w:tc>
          <w:tcPr>
            <w:tcW w:w="405" w:type="pct"/>
            <w:noWrap w:val="0"/>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hint="eastAsia" w:ascii="黑体" w:hAnsi="黑体" w:eastAsia="黑体"/>
                <w:szCs w:val="21"/>
              </w:rPr>
            </w:pPr>
            <w:r>
              <w:rPr>
                <w:rFonts w:ascii="黑体" w:hAnsi="黑体" w:eastAsia="黑体"/>
                <w:szCs w:val="21"/>
              </w:rPr>
              <w:t>考核</w:t>
            </w:r>
          </w:p>
          <w:p>
            <w:pPr>
              <w:keepNext w:val="0"/>
              <w:keepLines w:val="0"/>
              <w:pageBreakBefore w:val="0"/>
              <w:kinsoku/>
              <w:wordWrap/>
              <w:overflowPunct/>
              <w:topLinePunct w:val="0"/>
              <w:autoSpaceDE/>
              <w:autoSpaceDN/>
              <w:bidi w:val="0"/>
              <w:adjustRightInd/>
              <w:snapToGrid/>
              <w:spacing w:line="348" w:lineRule="auto"/>
              <w:jc w:val="center"/>
              <w:textAlignment w:val="auto"/>
              <w:rPr>
                <w:rFonts w:ascii="黑体" w:hAnsi="黑体" w:eastAsia="黑体"/>
                <w:szCs w:val="21"/>
              </w:rPr>
            </w:pPr>
            <w:r>
              <w:rPr>
                <w:rFonts w:ascii="黑体" w:hAnsi="黑体" w:eastAsia="黑体"/>
                <w:szCs w:val="21"/>
              </w:rPr>
              <w:t>计分</w:t>
            </w:r>
          </w:p>
        </w:tc>
        <w:tc>
          <w:tcPr>
            <w:tcW w:w="885" w:type="pct"/>
            <w:noWrap w:val="0"/>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ascii="黑体" w:hAnsi="黑体" w:eastAsia="黑体"/>
                <w:szCs w:val="21"/>
              </w:rPr>
            </w:pPr>
            <w:r>
              <w:rPr>
                <w:rFonts w:ascii="黑体" w:hAnsi="黑体" w:eastAsia="黑体"/>
                <w:szCs w:val="21"/>
              </w:rPr>
              <w:t>积分说明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学科建设规划</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w:t>
            </w:r>
            <w:r>
              <w:rPr>
                <w:rFonts w:hint="eastAsia" w:ascii="仿宋_GB2312" w:eastAsia="仿宋_GB2312"/>
                <w:bCs/>
                <w:szCs w:val="21"/>
                <w:lang w:val="en-US" w:eastAsia="zh-CN"/>
              </w:rPr>
              <w:t>5</w:t>
            </w:r>
            <w:r>
              <w:rPr>
                <w:rFonts w:hint="eastAsia" w:ascii="仿宋_GB2312" w:eastAsia="仿宋_GB2312"/>
                <w:bCs/>
                <w:szCs w:val="21"/>
              </w:rPr>
              <w:t>分）</w:t>
            </w: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完成情况</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w:t>
            </w:r>
            <w:r>
              <w:rPr>
                <w:rFonts w:hint="eastAsia" w:ascii="仿宋_GB2312" w:eastAsia="仿宋_GB2312"/>
                <w:szCs w:val="21"/>
                <w:lang w:val="en-US" w:eastAsia="zh-CN"/>
              </w:rPr>
              <w:t>5</w:t>
            </w:r>
            <w:r>
              <w:rPr>
                <w:rFonts w:hint="eastAsia" w:ascii="仿宋_GB2312" w:eastAsia="仿宋_GB2312"/>
                <w:szCs w:val="21"/>
              </w:rPr>
              <w:t>分）</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学科发展规划思路清晰、目标明确、措施具体可行。</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达不到要求的，视具体情况每项扣1－2分，累计大于</w:t>
            </w:r>
            <w:r>
              <w:rPr>
                <w:rFonts w:hint="eastAsia" w:ascii="仿宋_GB2312" w:eastAsia="仿宋_GB2312"/>
                <w:szCs w:val="21"/>
                <w:lang w:val="en-US" w:eastAsia="zh-CN"/>
              </w:rPr>
              <w:t>5</w:t>
            </w:r>
            <w:r>
              <w:rPr>
                <w:rFonts w:hint="eastAsia" w:ascii="仿宋_GB2312" w:eastAsia="仿宋_GB2312"/>
                <w:szCs w:val="21"/>
              </w:rPr>
              <w:t>分时按</w:t>
            </w:r>
            <w:r>
              <w:rPr>
                <w:rFonts w:hint="eastAsia" w:ascii="仿宋_GB2312" w:eastAsia="仿宋_GB2312"/>
                <w:szCs w:val="21"/>
                <w:lang w:val="en-US" w:eastAsia="zh-CN"/>
              </w:rPr>
              <w:t>5</w:t>
            </w:r>
            <w:r>
              <w:rPr>
                <w:rFonts w:hint="eastAsia" w:ascii="仿宋_GB2312" w:eastAsia="仿宋_GB2312"/>
                <w:szCs w:val="21"/>
              </w:rPr>
              <w:t>分计。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执行效果显著，实现预期建设目标。</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研究方向设置科学、稳定；主要研究方向有特色，使本学科的科研整体水平较省内同类院校领先。</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学科团队与条件</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（10分）</w:t>
            </w: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团队构成</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（3分）</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学术带头人拥有厅级以上荣誉称号。</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 xml:space="preserve">达不到要求的，视具体情况每项扣1－2分，累计大于3分时按3分计。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团队其他成员至少有教授1人，副教授2人以上。</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团队结构合理，高级职称教师占</w:t>
            </w:r>
            <w:r>
              <w:rPr>
                <w:rFonts w:hint="eastAsia" w:ascii="仿宋_GB2312" w:eastAsia="仿宋_GB2312"/>
                <w:szCs w:val="21"/>
                <w:lang w:val="en-US" w:eastAsia="zh-CN"/>
              </w:rPr>
              <w:t>2</w:t>
            </w:r>
            <w:r>
              <w:rPr>
                <w:rFonts w:hint="eastAsia" w:ascii="仿宋_GB2312" w:eastAsia="仿宋_GB2312"/>
                <w:szCs w:val="21"/>
              </w:rPr>
              <w:t>0%以上。</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高层次人才培养</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(3分)</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入选省级人才计划1人</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3</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该项分值为各项数量乘以各项分值的和（累计分值大于3时，取最大值3）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晋升正教授1人</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晋升副教授1人</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平台建设（4分）</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学科科研仪器设备先进，管理规范，状态良好，有专人负责，能够满足多数科研实验分析研究。</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该项分值为各项数量乘以各项分值的和（累计分值大于4时，取最大值4）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具有市级以上重点实验室或产学研基地或科研机构或教学示范中心或工程中心1个</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获批省级平台1个</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4</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获批地厅级平台1个</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教学与人才培养</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w:t>
            </w:r>
            <w:r>
              <w:rPr>
                <w:rFonts w:hint="eastAsia" w:ascii="仿宋_GB2312" w:eastAsia="仿宋_GB2312"/>
                <w:bCs/>
                <w:szCs w:val="21"/>
                <w:lang w:val="en-US" w:eastAsia="zh-CN"/>
              </w:rPr>
              <w:t>20</w:t>
            </w:r>
            <w:r>
              <w:rPr>
                <w:rFonts w:hint="eastAsia" w:ascii="仿宋_GB2312" w:eastAsia="仿宋_GB2312"/>
                <w:bCs/>
                <w:szCs w:val="21"/>
              </w:rPr>
              <w:t>分）</w:t>
            </w: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人才培养</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w:t>
            </w:r>
            <w:r>
              <w:rPr>
                <w:rFonts w:hint="eastAsia" w:ascii="仿宋_GB2312" w:eastAsia="仿宋_GB2312"/>
                <w:szCs w:val="21"/>
                <w:lang w:val="en-US" w:eastAsia="zh-CN"/>
              </w:rPr>
              <w:t>10</w:t>
            </w:r>
            <w:r>
              <w:rPr>
                <w:rFonts w:hint="eastAsia" w:ascii="仿宋_GB2312" w:eastAsia="仿宋_GB2312"/>
                <w:szCs w:val="21"/>
              </w:rPr>
              <w:t>分）</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指导学生获A类省级学科竞赛二等奖以上或国家级竞赛三等奖以上1项。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0.5</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该项分值为各项数量乘以各项分值的和（累计分值大于</w:t>
            </w:r>
            <w:r>
              <w:rPr>
                <w:rFonts w:hint="eastAsia" w:ascii="仿宋_GB2312" w:eastAsia="仿宋_GB2312"/>
                <w:szCs w:val="21"/>
                <w:lang w:val="en-US" w:eastAsia="zh-CN"/>
              </w:rPr>
              <w:t>10</w:t>
            </w:r>
            <w:r>
              <w:rPr>
                <w:rFonts w:hint="eastAsia" w:ascii="仿宋_GB2312" w:eastAsia="仿宋_GB2312"/>
                <w:szCs w:val="21"/>
              </w:rPr>
              <w:t>时，取最大值</w:t>
            </w:r>
            <w:r>
              <w:rPr>
                <w:rFonts w:hint="eastAsia" w:ascii="仿宋_GB2312" w:eastAsia="仿宋_GB2312"/>
                <w:szCs w:val="21"/>
                <w:lang w:val="en-US" w:eastAsia="zh-CN"/>
              </w:rPr>
              <w:t>10</w:t>
            </w:r>
            <w:r>
              <w:rPr>
                <w:rFonts w:hint="eastAsia" w:ascii="仿宋_GB2312" w:eastAsia="仿宋_GB2312"/>
                <w:szCs w:val="21"/>
              </w:rPr>
              <w:t>）。指导学生获奖累计最多</w:t>
            </w:r>
            <w:r>
              <w:rPr>
                <w:rFonts w:hint="eastAsia" w:ascii="仿宋_GB2312" w:eastAsia="仿宋_GB2312"/>
                <w:szCs w:val="21"/>
                <w:lang w:val="en-US" w:eastAsia="zh-CN"/>
              </w:rPr>
              <w:t>3</w:t>
            </w:r>
            <w:r>
              <w:rPr>
                <w:rFonts w:hint="eastAsia" w:ascii="仿宋_GB2312" w:eastAsia="仿宋_GB2312"/>
                <w:szCs w:val="21"/>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指导学生公开发表</w:t>
            </w:r>
            <w:r>
              <w:rPr>
                <w:rFonts w:hint="eastAsia" w:ascii="仿宋_GB2312" w:eastAsia="仿宋_GB2312"/>
                <w:szCs w:val="21"/>
                <w:lang w:val="en-US" w:eastAsia="zh-CN"/>
              </w:rPr>
              <w:t>学术</w:t>
            </w:r>
            <w:r>
              <w:rPr>
                <w:rFonts w:hint="eastAsia" w:ascii="仿宋_GB2312" w:eastAsia="仿宋_GB2312"/>
                <w:szCs w:val="21"/>
              </w:rPr>
              <w:t>论文及以上</w:t>
            </w:r>
            <w:r>
              <w:rPr>
                <w:rFonts w:hint="eastAsia" w:ascii="仿宋_GB2312" w:eastAsia="仿宋_GB2312"/>
                <w:szCs w:val="21"/>
                <w:lang w:val="en-US" w:eastAsia="zh-CN"/>
              </w:rPr>
              <w:t>5</w:t>
            </w:r>
            <w:r>
              <w:rPr>
                <w:rFonts w:hint="eastAsia" w:ascii="仿宋_GB2312" w:eastAsia="仿宋_GB2312"/>
                <w:szCs w:val="21"/>
              </w:rPr>
              <w:t>篇（学生为第一作者）。</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lang w:eastAsia="zh-CN"/>
              </w:rPr>
            </w:pPr>
            <w:r>
              <w:rPr>
                <w:rFonts w:hint="eastAsia" w:ascii="仿宋_GB2312" w:eastAsia="仿宋_GB2312"/>
                <w:szCs w:val="21"/>
                <w:lang w:val="en-US" w:eastAsia="zh-CN"/>
              </w:rPr>
              <w:t>5</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rPr>
              <w:t>指导学生授权国家专利1项（学生为第一发明人）</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教学成果（</w:t>
            </w:r>
            <w:r>
              <w:rPr>
                <w:rFonts w:hint="eastAsia" w:ascii="仿宋_GB2312" w:eastAsia="仿宋_GB2312"/>
                <w:szCs w:val="21"/>
                <w:lang w:val="en-US" w:eastAsia="zh-CN"/>
              </w:rPr>
              <w:t>10</w:t>
            </w:r>
            <w:r>
              <w:rPr>
                <w:rFonts w:hint="eastAsia" w:ascii="仿宋_GB2312" w:eastAsia="仿宋_GB2312"/>
                <w:szCs w:val="21"/>
              </w:rPr>
              <w:t>分）</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获批国家级教学成果奖1项或教学实践平台1个或一流专业1个或一流课程或教改项目1项。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9</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该项分值为各项数量乘以各项分值的和（累计分值大于</w:t>
            </w:r>
            <w:r>
              <w:rPr>
                <w:rFonts w:hint="eastAsia" w:ascii="仿宋_GB2312" w:eastAsia="仿宋_GB2312"/>
                <w:szCs w:val="21"/>
                <w:lang w:val="en-US" w:eastAsia="zh-CN"/>
              </w:rPr>
              <w:t>10</w:t>
            </w:r>
            <w:r>
              <w:rPr>
                <w:rFonts w:hint="eastAsia" w:ascii="仿宋_GB2312" w:eastAsia="仿宋_GB2312"/>
                <w:szCs w:val="21"/>
              </w:rPr>
              <w:t>时，取最大值</w:t>
            </w:r>
            <w:r>
              <w:rPr>
                <w:rFonts w:hint="eastAsia" w:ascii="仿宋_GB2312" w:eastAsia="仿宋_GB2312"/>
                <w:szCs w:val="21"/>
                <w:lang w:val="en-US" w:eastAsia="zh-CN"/>
              </w:rPr>
              <w:t>10</w:t>
            </w:r>
            <w:r>
              <w:rPr>
                <w:rFonts w:hint="eastAsia" w:ascii="仿宋_GB2312" w:eastAsia="仿宋_GB2312"/>
                <w:szCs w:val="21"/>
              </w:rPr>
              <w:t>），校级成果奖、教改项目分别累计不超过2分。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获批省级教学成果奖1项或教学实践平台1个或一流专业1个或五类金课或教改项目1项。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5</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校级教学成果奖一等奖</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0.5</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校级改项目1项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0.5</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467"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科学研究与服务地方经济社会发展</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（60分）</w:t>
            </w: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纵向项目立项</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国家级科研项目1项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20</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该项分值为各项数量乘以各项分值的和（累计分值大于60时，取最大值60）。</w:t>
            </w:r>
          </w:p>
          <w:p>
            <w:pPr>
              <w:keepNext w:val="0"/>
              <w:keepLines w:val="0"/>
              <w:pageBreakBefore w:val="0"/>
              <w:kinsoku/>
              <w:wordWrap/>
              <w:overflowPunct/>
              <w:topLinePunct w:val="0"/>
              <w:autoSpaceDE/>
              <w:autoSpaceDN/>
              <w:bidi w:val="0"/>
              <w:adjustRightInd/>
              <w:snapToGrid/>
              <w:spacing w:line="348" w:lineRule="auto"/>
              <w:ind w:firstLine="560" w:firstLineChars="200"/>
              <w:textAlignment w:val="auto"/>
              <w:rPr>
                <w:rFonts w:hint="eastAsia" w:ascii="仿宋_GB2312" w:eastAsia="仿宋_GB2312"/>
                <w:szCs w:val="21"/>
              </w:rPr>
            </w:pPr>
            <w:r>
              <w:rPr>
                <w:rFonts w:hint="eastAsia" w:ascii="仿宋_GB2312" w:eastAsia="仿宋_GB2312"/>
                <w:szCs w:val="21"/>
              </w:rPr>
              <w:t>代表性学术论文得分不超过20分，且国内期刊高质量论文不少于三分之一，否则按比例扣分。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省部级科研项目1项。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5</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省部级以下项目，每到账经费</w:t>
            </w:r>
            <w:r>
              <w:rPr>
                <w:rFonts w:hint="eastAsia" w:ascii="仿宋_GB2312" w:eastAsia="仿宋_GB2312"/>
                <w:szCs w:val="21"/>
                <w:lang w:val="en-US" w:eastAsia="zh-CN"/>
              </w:rPr>
              <w:t>2</w:t>
            </w:r>
            <w:r>
              <w:rPr>
                <w:rFonts w:hint="eastAsia" w:ascii="仿宋_GB2312" w:eastAsia="仿宋_GB2312"/>
                <w:szCs w:val="21"/>
              </w:rPr>
              <w:t>万。</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横向项目立项</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lang w:val="en-US" w:eastAsia="zh-CN"/>
              </w:rPr>
            </w:pPr>
            <w:r>
              <w:rPr>
                <w:rFonts w:hint="eastAsia" w:ascii="仿宋_GB2312" w:eastAsia="仿宋_GB2312"/>
                <w:szCs w:val="21"/>
              </w:rPr>
              <w:t>承担横向项目1项</w:t>
            </w:r>
            <w:r>
              <w:rPr>
                <w:rFonts w:hint="eastAsia" w:ascii="仿宋_GB2312" w:eastAsia="仿宋_GB2312"/>
                <w:szCs w:val="21"/>
                <w:lang w:eastAsia="zh-CN"/>
              </w:rPr>
              <w:t>。</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lang w:val="en-US" w:eastAsia="zh-CN"/>
              </w:rPr>
            </w:pPr>
            <w:r>
              <w:rPr>
                <w:rFonts w:hint="eastAsia" w:ascii="仿宋_GB2312" w:eastAsia="仿宋_GB2312"/>
                <w:szCs w:val="21"/>
              </w:rPr>
              <w:t>横向科研经费每到账</w:t>
            </w:r>
            <w:r>
              <w:rPr>
                <w:rFonts w:hint="eastAsia" w:ascii="仿宋_GB2312" w:eastAsia="仿宋_GB2312"/>
                <w:szCs w:val="21"/>
                <w:lang w:val="en-US" w:eastAsia="zh-CN"/>
              </w:rPr>
              <w:t>1</w:t>
            </w:r>
            <w:r>
              <w:rPr>
                <w:rFonts w:hint="eastAsia" w:ascii="仿宋_GB2312" w:eastAsia="仿宋_GB2312"/>
                <w:szCs w:val="21"/>
              </w:rPr>
              <w:t>万元</w:t>
            </w:r>
            <w:r>
              <w:rPr>
                <w:rFonts w:hint="eastAsia" w:ascii="仿宋_GB2312" w:eastAsia="仿宋_GB2312"/>
                <w:szCs w:val="21"/>
                <w:lang w:eastAsia="zh-CN"/>
              </w:rPr>
              <w:t>。</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高质量论文</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A类论文1篇。</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10</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lang w:val="en-US" w:eastAsia="zh-CN"/>
              </w:rPr>
              <w:t>B</w:t>
            </w:r>
            <w:r>
              <w:rPr>
                <w:rFonts w:hint="eastAsia" w:ascii="仿宋_GB2312" w:eastAsia="仿宋_GB2312"/>
                <w:szCs w:val="21"/>
              </w:rPr>
              <w:t>类论文1篇。</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3</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lang w:val="en-US" w:eastAsia="zh-CN"/>
              </w:rPr>
              <w:t>C</w:t>
            </w:r>
            <w:r>
              <w:rPr>
                <w:rFonts w:hint="eastAsia" w:ascii="仿宋_GB2312" w:eastAsia="仿宋_GB2312"/>
                <w:szCs w:val="21"/>
              </w:rPr>
              <w:t>类论文1篇。</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lang w:val="en-US" w:eastAsia="zh-CN"/>
              </w:rPr>
              <w:t>D</w:t>
            </w:r>
            <w:r>
              <w:rPr>
                <w:rFonts w:hint="eastAsia" w:ascii="仿宋_GB2312" w:eastAsia="仿宋_GB2312"/>
                <w:szCs w:val="21"/>
              </w:rPr>
              <w:t>类论文1篇。</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lang w:val="en-US" w:eastAsia="zh-CN"/>
              </w:rPr>
              <w:t>E</w:t>
            </w:r>
            <w:r>
              <w:rPr>
                <w:rFonts w:hint="eastAsia" w:ascii="仿宋_GB2312" w:eastAsia="仿宋_GB2312"/>
                <w:szCs w:val="21"/>
              </w:rPr>
              <w:t>类论文1篇。</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0.6</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lang w:val="en-US" w:eastAsia="zh-CN"/>
              </w:rPr>
              <w:t>F</w:t>
            </w:r>
            <w:r>
              <w:rPr>
                <w:rFonts w:hint="eastAsia" w:ascii="仿宋_GB2312" w:eastAsia="仿宋_GB2312"/>
                <w:szCs w:val="21"/>
              </w:rPr>
              <w:t>类论文1篇。</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0.4</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lang w:val="en-US" w:eastAsia="zh-CN"/>
              </w:rPr>
              <w:t>G</w:t>
            </w:r>
            <w:r>
              <w:rPr>
                <w:rFonts w:hint="eastAsia" w:ascii="仿宋_GB2312" w:eastAsia="仿宋_GB2312"/>
                <w:szCs w:val="21"/>
              </w:rPr>
              <w:t>类论文1篇。</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0.2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著作</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权威出版社学术专著或省部级规划教材1部。</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3</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lang w:val="en-US" w:eastAsia="zh-CN"/>
              </w:rPr>
              <w:t>一般</w:t>
            </w:r>
            <w:r>
              <w:rPr>
                <w:rFonts w:hint="eastAsia" w:ascii="仿宋_GB2312" w:eastAsia="仿宋_GB2312"/>
                <w:szCs w:val="21"/>
              </w:rPr>
              <w:t>出版社学术专著</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科研成果奖</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省部级科研成果奖1项。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10</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教育厅科研成果奖1项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省社科联</w:t>
            </w:r>
            <w:r>
              <w:rPr>
                <w:rFonts w:hint="eastAsia" w:ascii="仿宋_GB2312" w:eastAsia="仿宋_GB2312"/>
                <w:szCs w:val="21"/>
                <w:lang w:val="en-US" w:eastAsia="zh-CN"/>
              </w:rPr>
              <w:t>等地市级</w:t>
            </w:r>
            <w:r>
              <w:rPr>
                <w:rFonts w:hint="eastAsia" w:ascii="仿宋_GB2312" w:eastAsia="仿宋_GB2312"/>
                <w:szCs w:val="21"/>
              </w:rPr>
              <w:t>科研成果奖1项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专利及成果转化</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发明专利（授权）。</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专利转化金额每1万元 。</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5</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决策咨询或政策建议</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被国家级政府部门采纳的1项。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20</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被省部级政府部门采纳的1项。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10</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被市厅级政府部门采纳的1项。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工艺美术设计作品或雕塑壁画设计作品</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被国家级文化部门收藏的1项。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5</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被省部级文化部门收藏的1项。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被市厅级文化部门收藏的1项。</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戏剧影视剧本或文化记录片脚本</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编创的戏剧影视剧本或文化记录片脚本被拍摄成影视剧、文化记录片，在省级电视台播放</w:t>
            </w:r>
            <w:r>
              <w:rPr>
                <w:rFonts w:hint="eastAsia" w:ascii="仿宋_GB2312" w:eastAsia="仿宋_GB2312"/>
                <w:szCs w:val="21"/>
                <w:lang w:val="en-US" w:eastAsia="zh-CN"/>
              </w:rPr>
              <w:t>2</w:t>
            </w:r>
            <w:r>
              <w:rPr>
                <w:rFonts w:hint="eastAsia" w:ascii="仿宋_GB2312" w:eastAsia="仿宋_GB2312"/>
                <w:szCs w:val="21"/>
              </w:rPr>
              <w:t>集以上</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10</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编创的戏剧影视剧本或文化记录片脚本被拍摄成影视剧、文化记录片</w:t>
            </w:r>
            <w:r>
              <w:rPr>
                <w:rFonts w:hint="eastAsia" w:ascii="仿宋_GB2312" w:eastAsia="仿宋_GB2312"/>
                <w:szCs w:val="21"/>
                <w:lang w:val="en-US" w:eastAsia="zh-CN"/>
              </w:rPr>
              <w:t>等</w:t>
            </w:r>
            <w:r>
              <w:rPr>
                <w:rFonts w:hint="eastAsia" w:ascii="仿宋_GB2312" w:eastAsia="仿宋_GB2312"/>
                <w:szCs w:val="21"/>
              </w:rPr>
              <w:t>，在省级电视台播放</w:t>
            </w:r>
            <w:r>
              <w:rPr>
                <w:rFonts w:hint="eastAsia" w:ascii="仿宋_GB2312" w:eastAsia="仿宋_GB2312"/>
                <w:szCs w:val="21"/>
                <w:lang w:val="en-US" w:eastAsia="zh-CN"/>
              </w:rPr>
              <w:t>1</w:t>
            </w:r>
            <w:r>
              <w:rPr>
                <w:rFonts w:hint="eastAsia" w:ascii="仿宋_GB2312" w:eastAsia="仿宋_GB2312"/>
                <w:szCs w:val="21"/>
              </w:rPr>
              <w:t>集</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5</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编创的戏剧影视剧本或文化记录片脚本被拍摄成影视剧、文化记录片</w:t>
            </w:r>
            <w:r>
              <w:rPr>
                <w:rFonts w:hint="eastAsia" w:ascii="仿宋_GB2312" w:eastAsia="仿宋_GB2312"/>
                <w:szCs w:val="21"/>
                <w:lang w:val="en-US" w:eastAsia="zh-CN"/>
              </w:rPr>
              <w:t>等</w:t>
            </w:r>
            <w:r>
              <w:rPr>
                <w:rFonts w:hint="eastAsia" w:ascii="仿宋_GB2312" w:eastAsia="仿宋_GB2312"/>
                <w:szCs w:val="21"/>
              </w:rPr>
              <w:t>，在</w:t>
            </w:r>
            <w:r>
              <w:rPr>
                <w:rFonts w:hint="eastAsia" w:ascii="仿宋_GB2312" w:eastAsia="仿宋_GB2312"/>
                <w:szCs w:val="21"/>
                <w:lang w:val="en-US" w:eastAsia="zh-CN"/>
              </w:rPr>
              <w:t>市</w:t>
            </w:r>
            <w:r>
              <w:rPr>
                <w:rFonts w:hint="eastAsia" w:ascii="仿宋_GB2312" w:eastAsia="仿宋_GB2312"/>
                <w:szCs w:val="21"/>
              </w:rPr>
              <w:t>级电视台播放</w:t>
            </w:r>
            <w:r>
              <w:rPr>
                <w:rFonts w:hint="eastAsia" w:ascii="仿宋_GB2312" w:eastAsia="仿宋_GB2312"/>
                <w:szCs w:val="21"/>
                <w:lang w:val="en-US" w:eastAsia="zh-CN"/>
              </w:rPr>
              <w:t>2</w:t>
            </w:r>
            <w:r>
              <w:rPr>
                <w:rFonts w:hint="eastAsia" w:ascii="仿宋_GB2312" w:eastAsia="仿宋_GB2312"/>
                <w:szCs w:val="21"/>
              </w:rPr>
              <w:t>集以上</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编创的戏剧影视剧本或文化记录片脚本被拍摄成影视剧、文化记录片</w:t>
            </w:r>
            <w:r>
              <w:rPr>
                <w:rFonts w:hint="eastAsia" w:ascii="仿宋_GB2312" w:eastAsia="仿宋_GB2312"/>
                <w:szCs w:val="21"/>
                <w:lang w:val="en-US" w:eastAsia="zh-CN"/>
              </w:rPr>
              <w:t>等</w:t>
            </w:r>
            <w:r>
              <w:rPr>
                <w:rFonts w:hint="eastAsia" w:ascii="仿宋_GB2312" w:eastAsia="仿宋_GB2312"/>
                <w:szCs w:val="21"/>
              </w:rPr>
              <w:t>，在</w:t>
            </w:r>
            <w:r>
              <w:rPr>
                <w:rFonts w:hint="eastAsia" w:ascii="仿宋_GB2312" w:eastAsia="仿宋_GB2312"/>
                <w:szCs w:val="21"/>
                <w:lang w:val="en-US" w:eastAsia="zh-CN"/>
              </w:rPr>
              <w:t>市</w:t>
            </w:r>
            <w:r>
              <w:rPr>
                <w:rFonts w:hint="eastAsia" w:ascii="仿宋_GB2312" w:eastAsia="仿宋_GB2312"/>
                <w:szCs w:val="21"/>
              </w:rPr>
              <w:t>级电视台播放</w:t>
            </w:r>
            <w:r>
              <w:rPr>
                <w:rFonts w:hint="eastAsia" w:ascii="仿宋_GB2312" w:eastAsia="仿宋_GB2312"/>
                <w:szCs w:val="21"/>
                <w:lang w:val="en-US" w:eastAsia="zh-CN"/>
              </w:rPr>
              <w:t>1</w:t>
            </w:r>
            <w:r>
              <w:rPr>
                <w:rFonts w:hint="eastAsia" w:ascii="仿宋_GB2312" w:eastAsia="仿宋_GB2312"/>
                <w:szCs w:val="21"/>
              </w:rPr>
              <w:t>集</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以</w:t>
            </w:r>
            <w:r>
              <w:rPr>
                <w:rFonts w:hint="eastAsia" w:ascii="仿宋_GB2312" w:eastAsia="仿宋_GB2312"/>
                <w:szCs w:val="21"/>
                <w:lang w:val="en-US" w:eastAsia="zh-CN"/>
              </w:rPr>
              <w:t>郑州工商</w:t>
            </w:r>
            <w:r>
              <w:rPr>
                <w:rFonts w:hint="eastAsia" w:ascii="仿宋_GB2312" w:eastAsia="仿宋_GB2312"/>
                <w:szCs w:val="21"/>
              </w:rPr>
              <w:t>学院为第一单位拍摄并制作完成的影视剧、文化纪录片</w:t>
            </w:r>
            <w:r>
              <w:rPr>
                <w:rFonts w:hint="eastAsia" w:ascii="仿宋_GB2312" w:eastAsia="仿宋_GB2312"/>
                <w:szCs w:val="21"/>
                <w:lang w:val="en-US" w:eastAsia="zh-CN"/>
              </w:rPr>
              <w:t>等</w:t>
            </w:r>
            <w:r>
              <w:rPr>
                <w:rFonts w:hint="eastAsia" w:ascii="仿宋_GB2312" w:eastAsia="仿宋_GB2312"/>
                <w:szCs w:val="21"/>
              </w:rPr>
              <w:t>在省级电视台播放</w:t>
            </w:r>
            <w:r>
              <w:rPr>
                <w:rFonts w:hint="eastAsia" w:ascii="仿宋_GB2312" w:eastAsia="仿宋_GB2312"/>
                <w:szCs w:val="21"/>
                <w:lang w:val="en-US" w:eastAsia="zh-CN"/>
              </w:rPr>
              <w:t>1</w:t>
            </w:r>
            <w:r>
              <w:rPr>
                <w:rFonts w:hint="eastAsia" w:ascii="仿宋_GB2312" w:eastAsia="仿宋_GB2312"/>
                <w:szCs w:val="21"/>
              </w:rPr>
              <w:t>集</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5</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以</w:t>
            </w:r>
            <w:r>
              <w:rPr>
                <w:rFonts w:hint="eastAsia" w:ascii="仿宋_GB2312" w:eastAsia="仿宋_GB2312"/>
                <w:szCs w:val="21"/>
                <w:lang w:val="en-US" w:eastAsia="zh-CN"/>
              </w:rPr>
              <w:t>郑州工商</w:t>
            </w:r>
            <w:r>
              <w:rPr>
                <w:rFonts w:hint="eastAsia" w:ascii="仿宋_GB2312" w:eastAsia="仿宋_GB2312"/>
                <w:szCs w:val="21"/>
              </w:rPr>
              <w:t>学院为第一单位拍摄并制作完成的影视剧、文化纪录片</w:t>
            </w:r>
            <w:r>
              <w:rPr>
                <w:rFonts w:hint="eastAsia" w:ascii="仿宋_GB2312" w:eastAsia="仿宋_GB2312"/>
                <w:szCs w:val="21"/>
                <w:lang w:val="en-US" w:eastAsia="zh-CN"/>
              </w:rPr>
              <w:t>等</w:t>
            </w:r>
            <w:r>
              <w:rPr>
                <w:rFonts w:hint="eastAsia" w:ascii="仿宋_GB2312" w:eastAsia="仿宋_GB2312"/>
                <w:szCs w:val="21"/>
              </w:rPr>
              <w:t>在</w:t>
            </w:r>
            <w:r>
              <w:rPr>
                <w:rFonts w:hint="eastAsia" w:ascii="仿宋_GB2312" w:eastAsia="仿宋_GB2312"/>
                <w:szCs w:val="21"/>
                <w:lang w:val="en-US" w:eastAsia="zh-CN"/>
              </w:rPr>
              <w:t>市</w:t>
            </w:r>
            <w:r>
              <w:rPr>
                <w:rFonts w:hint="eastAsia" w:ascii="仿宋_GB2312" w:eastAsia="仿宋_GB2312"/>
                <w:szCs w:val="21"/>
              </w:rPr>
              <w:t>级电视台播放1集</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体育创作</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创作的成套广播体操、健美操、体育舞蹈、团体操</w:t>
            </w:r>
            <w:r>
              <w:rPr>
                <w:rFonts w:hint="eastAsia" w:ascii="仿宋_GB2312" w:eastAsia="仿宋_GB2312"/>
                <w:szCs w:val="21"/>
                <w:lang w:val="en-US" w:eastAsia="zh-CN"/>
              </w:rPr>
              <w:t>等在1个省</w:t>
            </w:r>
            <w:r>
              <w:rPr>
                <w:rFonts w:hint="eastAsia" w:ascii="仿宋_GB2312" w:eastAsia="仿宋_GB2312"/>
                <w:szCs w:val="21"/>
              </w:rPr>
              <w:t>推广</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创作的成套广播体操、健美操、体育舞蹈、团体操</w:t>
            </w:r>
            <w:r>
              <w:rPr>
                <w:rFonts w:hint="eastAsia" w:ascii="仿宋_GB2312" w:eastAsia="仿宋_GB2312"/>
                <w:szCs w:val="21"/>
                <w:lang w:val="en-US" w:eastAsia="zh-CN"/>
              </w:rPr>
              <w:t>等</w:t>
            </w:r>
            <w:r>
              <w:rPr>
                <w:rFonts w:hint="eastAsia" w:ascii="仿宋_GB2312" w:eastAsia="仿宋_GB2312"/>
                <w:szCs w:val="21"/>
              </w:rPr>
              <w:t>在</w:t>
            </w:r>
            <w:r>
              <w:rPr>
                <w:rFonts w:hint="eastAsia" w:ascii="仿宋_GB2312" w:eastAsia="仿宋_GB2312"/>
                <w:szCs w:val="21"/>
                <w:lang w:val="en-US" w:eastAsia="zh-CN"/>
              </w:rPr>
              <w:t>1</w:t>
            </w:r>
            <w:r>
              <w:rPr>
                <w:rFonts w:hint="eastAsia" w:ascii="仿宋_GB2312" w:eastAsia="仿宋_GB2312"/>
                <w:szCs w:val="21"/>
              </w:rPr>
              <w:t>个</w:t>
            </w:r>
            <w:r>
              <w:rPr>
                <w:rFonts w:hint="eastAsia" w:ascii="仿宋_GB2312" w:eastAsia="仿宋_GB2312"/>
                <w:szCs w:val="21"/>
                <w:lang w:val="en-US" w:eastAsia="zh-CN"/>
              </w:rPr>
              <w:t>市</w:t>
            </w:r>
            <w:r>
              <w:rPr>
                <w:rFonts w:hint="eastAsia" w:ascii="仿宋_GB2312" w:eastAsia="仿宋_GB2312"/>
                <w:szCs w:val="21"/>
              </w:rPr>
              <w:t>推广</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67"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学术交流</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r>
              <w:rPr>
                <w:rFonts w:hint="eastAsia" w:ascii="仿宋_GB2312" w:eastAsia="仿宋_GB2312"/>
                <w:bCs/>
                <w:szCs w:val="21"/>
              </w:rPr>
              <w:t>（5分）</w:t>
            </w:r>
          </w:p>
        </w:tc>
        <w:tc>
          <w:tcPr>
            <w:tcW w:w="42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学术交流（3分）</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rPr>
              <w:t>主办国内学术会议1次。</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3</w:t>
            </w:r>
          </w:p>
        </w:tc>
        <w:tc>
          <w:tcPr>
            <w:tcW w:w="40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restar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该项分值为各项数量乘以各项分值的和（累计分值大于3时，取最大值3）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rPr>
              <w:t>主办省内学术会议1次。</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2</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主办</w:t>
            </w:r>
            <w:r>
              <w:rPr>
                <w:rFonts w:hint="eastAsia" w:ascii="仿宋_GB2312" w:eastAsia="仿宋_GB2312"/>
                <w:szCs w:val="21"/>
                <w:lang w:val="en-US" w:eastAsia="zh-CN"/>
              </w:rPr>
              <w:t>市</w:t>
            </w:r>
            <w:r>
              <w:rPr>
                <w:rFonts w:hint="eastAsia" w:ascii="仿宋_GB2312" w:eastAsia="仿宋_GB2312"/>
                <w:szCs w:val="21"/>
              </w:rPr>
              <w:t>内学术会议1次。</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1</w:t>
            </w:r>
          </w:p>
        </w:tc>
        <w:tc>
          <w:tcPr>
            <w:tcW w:w="40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67" w:type="pct"/>
            <w:vMerge w:val="continue"/>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bCs/>
                <w:szCs w:val="21"/>
              </w:rPr>
            </w:pPr>
          </w:p>
        </w:tc>
        <w:tc>
          <w:tcPr>
            <w:tcW w:w="425"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讲座讲学（2分）</w:t>
            </w:r>
          </w:p>
        </w:tc>
        <w:tc>
          <w:tcPr>
            <w:tcW w:w="2559"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邀请国内著名专家讲学1人次。</w:t>
            </w:r>
          </w:p>
        </w:tc>
        <w:tc>
          <w:tcPr>
            <w:tcW w:w="257"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0.2</w:t>
            </w:r>
          </w:p>
        </w:tc>
        <w:tc>
          <w:tcPr>
            <w:tcW w:w="405"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p>
        </w:tc>
        <w:tc>
          <w:tcPr>
            <w:tcW w:w="885" w:type="pct"/>
            <w:noWrap w:val="0"/>
            <w:vAlign w:val="center"/>
          </w:tcPr>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_GB2312" w:eastAsia="仿宋_GB2312"/>
                <w:szCs w:val="21"/>
              </w:rPr>
            </w:pPr>
            <w:r>
              <w:rPr>
                <w:rFonts w:hint="eastAsia" w:ascii="仿宋_GB2312" w:eastAsia="仿宋_GB2312"/>
                <w:szCs w:val="21"/>
              </w:rPr>
              <w:t>该项分值为邀请次数乘以0.2（大于2时，取最大值2）；</w:t>
            </w:r>
          </w:p>
        </w:tc>
      </w:tr>
    </w:tbl>
    <w:p>
      <w:pPr>
        <w:keepNext w:val="0"/>
        <w:keepLines w:val="0"/>
        <w:pageBreakBefore w:val="0"/>
        <w:kinsoku/>
        <w:wordWrap/>
        <w:overflowPunct/>
        <w:topLinePunct w:val="0"/>
        <w:autoSpaceDE/>
        <w:autoSpaceDN/>
        <w:bidi w:val="0"/>
        <w:adjustRightInd/>
        <w:snapToGrid/>
        <w:spacing w:line="348" w:lineRule="auto"/>
        <w:textAlignment w:val="auto"/>
        <w:rPr>
          <w:rFonts w:hint="eastAsia" w:ascii="楷体_GB2312" w:eastAsia="楷体_GB2312"/>
          <w:szCs w:val="21"/>
        </w:rPr>
      </w:pPr>
      <w:r>
        <w:rPr>
          <w:rFonts w:hint="eastAsia" w:ascii="楷体_GB2312" w:eastAsia="楷体_GB2312"/>
          <w:szCs w:val="21"/>
        </w:rPr>
        <w:t>说明：</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楷体_GB2312" w:eastAsia="楷体_GB2312"/>
          <w:szCs w:val="21"/>
        </w:rPr>
      </w:pPr>
      <w:r>
        <w:rPr>
          <w:rFonts w:hint="eastAsia" w:ascii="楷体_GB2312" w:eastAsia="楷体_GB2312"/>
          <w:szCs w:val="21"/>
        </w:rPr>
        <w:t>1. 三级量化指标中的各类等级以学校相关规定为准。</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楷体_GB2312" w:eastAsia="楷体_GB2312"/>
          <w:szCs w:val="21"/>
        </w:rPr>
      </w:pPr>
      <w:r>
        <w:rPr>
          <w:rFonts w:hint="eastAsia" w:ascii="楷体_GB2312" w:eastAsia="楷体_GB2312"/>
          <w:szCs w:val="21"/>
        </w:rPr>
        <w:t>2. 主持项目以建设期内立项为准。</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楷体_GB2312" w:eastAsia="楷体_GB2312"/>
          <w:szCs w:val="21"/>
        </w:rPr>
      </w:pPr>
      <w:r>
        <w:rPr>
          <w:rFonts w:hint="eastAsia" w:ascii="楷体_GB2312" w:eastAsia="楷体_GB2312"/>
          <w:szCs w:val="21"/>
        </w:rPr>
        <w:t>3. 论文仅对第一作者且署名单位为</w:t>
      </w:r>
      <w:r>
        <w:rPr>
          <w:rFonts w:hint="eastAsia" w:ascii="楷体_GB2312" w:eastAsia="楷体_GB2312"/>
          <w:szCs w:val="21"/>
          <w:lang w:val="en-US" w:eastAsia="zh-CN"/>
        </w:rPr>
        <w:t>郑州工商</w:t>
      </w:r>
      <w:r>
        <w:rPr>
          <w:rFonts w:hint="eastAsia" w:ascii="楷体_GB2312" w:eastAsia="楷体_GB2312"/>
          <w:szCs w:val="21"/>
        </w:rPr>
        <w:t>学院的进行计算。</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楷体_GB2312" w:eastAsia="楷体_GB2312"/>
          <w:szCs w:val="21"/>
        </w:rPr>
      </w:pPr>
      <w:r>
        <w:rPr>
          <w:rFonts w:hint="eastAsia" w:ascii="楷体_GB2312" w:eastAsia="楷体_GB2312"/>
          <w:szCs w:val="21"/>
        </w:rPr>
        <w:t>4. 国家授权专利仅对专利权人为</w:t>
      </w:r>
      <w:r>
        <w:rPr>
          <w:rFonts w:hint="eastAsia" w:ascii="楷体_GB2312" w:eastAsia="楷体_GB2312"/>
          <w:szCs w:val="21"/>
          <w:lang w:val="en-US" w:eastAsia="zh-CN"/>
        </w:rPr>
        <w:t>郑州工商</w:t>
      </w:r>
      <w:r>
        <w:rPr>
          <w:rFonts w:hint="eastAsia" w:ascii="楷体_GB2312" w:eastAsia="楷体_GB2312"/>
          <w:szCs w:val="21"/>
        </w:rPr>
        <w:t>学院，且学科队伍成员排第一位及授权公告日为当年进行计算。</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楷体_GB2312" w:eastAsia="楷体_GB2312"/>
          <w:szCs w:val="21"/>
        </w:rPr>
      </w:pPr>
      <w:r>
        <w:rPr>
          <w:rFonts w:hint="eastAsia" w:ascii="楷体_GB2312" w:eastAsia="楷体_GB2312"/>
          <w:szCs w:val="21"/>
        </w:rPr>
        <w:t>5. 未特别说明的，均指“</w:t>
      </w:r>
      <w:r>
        <w:rPr>
          <w:rFonts w:hint="eastAsia" w:ascii="楷体_GB2312" w:eastAsia="楷体_GB2312"/>
          <w:szCs w:val="21"/>
          <w:lang w:val="en-US" w:eastAsia="zh-CN"/>
        </w:rPr>
        <w:t>郑州工商</w:t>
      </w:r>
      <w:r>
        <w:rPr>
          <w:rFonts w:hint="eastAsia" w:ascii="楷体_GB2312" w:eastAsia="楷体_GB2312"/>
          <w:szCs w:val="21"/>
        </w:rPr>
        <w:t>学院”为第一完成单位。</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楷体_GB2312" w:eastAsia="楷体_GB2312"/>
          <w:szCs w:val="21"/>
        </w:rPr>
      </w:pPr>
      <w:r>
        <w:rPr>
          <w:rFonts w:hint="eastAsia" w:ascii="楷体_GB2312" w:eastAsia="楷体_GB2312"/>
          <w:szCs w:val="21"/>
        </w:rPr>
        <w:t>6. 一项成果只能在一个学科中使用。</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楷体_GB2312" w:eastAsia="楷体_GB2312"/>
          <w:szCs w:val="21"/>
        </w:rPr>
      </w:pPr>
      <w:r>
        <w:rPr>
          <w:rFonts w:hint="eastAsia" w:ascii="楷体_GB2312" w:eastAsia="楷体_GB2312"/>
          <w:szCs w:val="21"/>
        </w:rPr>
        <w:t>7.省级重点学科验收考核合格标准为90分，校级重点学科验收考核合格标准为80分，校级培育学科验收考核合格标准为60分。</w:t>
      </w:r>
    </w:p>
    <w:p>
      <w:pPr>
        <w:rPr>
          <w:rFonts w:hint="eastAsia" w:ascii="仿宋_GB2312" w:eastAsia="仿宋_GB2312"/>
          <w:sz w:val="32"/>
          <w:szCs w:val="32"/>
        </w:rPr>
      </w:pPr>
      <w:r>
        <w:rPr>
          <w:rFonts w:hint="eastAsia" w:ascii="楷体_GB2312" w:eastAsia="楷体_GB2312"/>
          <w:szCs w:val="21"/>
        </w:rPr>
        <w:t>8.学科点获得的本领域突出的重大成果（省部级科技二等奖及以上、建设期到账科研经费</w:t>
      </w:r>
      <w:r>
        <w:rPr>
          <w:rFonts w:hint="eastAsia" w:ascii="楷体_GB2312" w:eastAsia="楷体_GB2312"/>
          <w:szCs w:val="21"/>
          <w:lang w:val="en-US" w:eastAsia="zh-CN"/>
        </w:rPr>
        <w:t>30</w:t>
      </w:r>
      <w:r>
        <w:rPr>
          <w:rFonts w:hint="eastAsia" w:ascii="楷体_GB2312" w:eastAsia="楷体_GB2312"/>
          <w:szCs w:val="21"/>
        </w:rPr>
        <w:t>万及以上等），可由校学术委员会直接认定考核合格。</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ODMyMWJhMzJmMDE4MWFmMGY2MjU2NzFhMDk0ZjYifQ=="/>
  </w:docVars>
  <w:rsids>
    <w:rsidRoot w:val="1ED8544B"/>
    <w:rsid w:val="1ED8544B"/>
    <w:rsid w:val="436C1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240" w:lineRule="auto"/>
      <w:ind w:left="0" w:right="0"/>
      <w:jc w:val="left"/>
    </w:pPr>
    <w:rPr>
      <w:rFonts w:ascii="黑体" w:hAnsi="黑体" w:eastAsia="黑体" w:cs="黑体"/>
      <w:sz w:val="28"/>
      <w:szCs w:val="28"/>
      <w:lang w:val="zh-CN" w:eastAsia="zh-CN" w:bidi="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ind w:left="110"/>
    </w:pPr>
    <w:rPr>
      <w:rFonts w:ascii="宋体" w:hAnsi="宋体" w:eastAsia="宋体" w:cs="Times New Roman"/>
      <w:sz w:val="62"/>
      <w:szCs w:val="6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2022-07-20T07:41:00Z</dcterms:created>
  <dc:creator>教务处</dc:creator>
  <cp:lastModifiedBy>教务处</cp:lastModifiedBy>
  <dcterms:modified xsi:type="dcterms:W3CDTF">2022-07-20T07:44:26Z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265FD1371D5748A8BDA3736B9169ED27</vt:lpwstr>
  </property>
</Properties>
</file>