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2022年度述职人员名单</w:t>
      </w:r>
    </w:p>
    <w:bookmarkEnd w:id="0"/>
    <w:tbl>
      <w:tblPr>
        <w:tblStyle w:val="4"/>
        <w:tblW w:w="4956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37"/>
        <w:gridCol w:w="5451"/>
        <w:gridCol w:w="14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述职人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党总支/部门/单位/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时间（分钟）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褚颜魁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工学院党总支/工学院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汪金龙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信息工程学院党总支/信息工程学院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曹云明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曹丽娟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商学院党总支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马纪岗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财税学院党总支/财税学院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王静静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文法学院党总支/文法学院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王覃秋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艺术学院党总支/艺术学院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王晓娜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体育学院党总支/体育学院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马纪岗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马克思主义学院党总支/马克思主义学院/统战部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王提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兰考学院党总支/兰考学院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杜明银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基础教学部党总支/基础教学部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杨国缝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王萍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督查室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李红梅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校办/党办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陈荟宇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机关党总支/组织部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王文方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莹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教务处/科研处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秦方奇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评建办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郑子依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  昉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教师工作部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贾青彦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学生处/学生工作部/团委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马世超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后勤处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赵姜评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招就处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陈长松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现教中心/图书馆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岚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伟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保卫处/武装工作部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jZiOGU3YWQ5OTljODFiZGI1ZDE3NDZhNWZmODgifQ=="/>
  </w:docVars>
  <w:rsids>
    <w:rsidRoot w:val="7BAD3C9F"/>
    <w:rsid w:val="7BA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Autospacing="1" w:afterAutospacing="1"/>
      <w:jc w:val="center"/>
    </w:pPr>
    <w:rPr>
      <w:rFonts w:hint="eastAsia" w:ascii="宋体" w:hAnsi="宋体" w:eastAsia="方正小标宋简体" w:cs="宋体"/>
      <w:snapToGrid w:val="0"/>
      <w:kern w:val="0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2023-01-04T03:00:00Z</dcterms:created>
  <dc:creator>동료</dc:creator>
  <cp:lastModifiedBy>동료</cp:lastModifiedBy>
  <dcterms:modified xsi:type="dcterms:W3CDTF">2023-01-04T03:04:21Z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217DF5C5DDDA4B968596C19602A7ABFA</vt:lpwstr>
  </property>
</Properties>
</file>